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82572" w14:textId="0C5B85EA" w:rsidR="00C86F85" w:rsidRDefault="00C86F85" w:rsidP="00BF438C">
      <w:pPr>
        <w:spacing w:after="0"/>
        <w:jc w:val="center"/>
        <w:rPr>
          <w:b/>
          <w:lang w:val="en-GB"/>
        </w:rPr>
      </w:pPr>
      <w:r>
        <w:rPr>
          <w:b/>
          <w:noProof/>
          <w:lang w:val="hu-HU" w:eastAsia="hu-HU"/>
        </w:rPr>
        <w:drawing>
          <wp:inline distT="0" distB="0" distL="0" distR="0" wp14:anchorId="0BDDF121" wp14:editId="77CBF1E8">
            <wp:extent cx="5762625" cy="1692275"/>
            <wp:effectExtent l="0" t="0" r="0" b="3175"/>
            <wp:docPr id="3" name="Kép 3" descr="D:\V4\V4_HUpres_arculat\V4_2021_22_logo_Assets_v1.1\ENG\RGB\jpg\V4_logo_2021_22_Extended_Flags_E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V4\V4_HUpres_arculat\V4_2021_22_logo_Assets_v1.1\ENG\RGB\jpg\V4_logo_2021_22_Extended_Flags_ENG_RGB.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1900"/>
                    <a:stretch/>
                  </pic:blipFill>
                  <pic:spPr bwMode="auto">
                    <a:xfrm>
                      <a:off x="0" y="0"/>
                      <a:ext cx="5762625" cy="1692275"/>
                    </a:xfrm>
                    <a:prstGeom prst="rect">
                      <a:avLst/>
                    </a:prstGeom>
                    <a:noFill/>
                    <a:ln>
                      <a:noFill/>
                    </a:ln>
                    <a:extLst>
                      <a:ext uri="{53640926-AAD7-44D8-BBD7-CCE9431645EC}">
                        <a14:shadowObscured xmlns:a14="http://schemas.microsoft.com/office/drawing/2010/main"/>
                      </a:ext>
                    </a:extLst>
                  </pic:spPr>
                </pic:pic>
              </a:graphicData>
            </a:graphic>
          </wp:inline>
        </w:drawing>
      </w:r>
    </w:p>
    <w:p w14:paraId="32F536F6" w14:textId="56DE4EF5" w:rsidR="00BF438C" w:rsidRPr="00616640" w:rsidRDefault="00BF438C" w:rsidP="00BF438C">
      <w:pPr>
        <w:spacing w:after="0"/>
        <w:jc w:val="center"/>
        <w:rPr>
          <w:b/>
          <w:lang w:val="en-GB"/>
        </w:rPr>
      </w:pPr>
      <w:r w:rsidRPr="00616640">
        <w:rPr>
          <w:b/>
          <w:lang w:val="en-GB"/>
        </w:rPr>
        <w:t>JOINT STATEMENT BY THE VISEGRAD GROUP STATES</w:t>
      </w:r>
    </w:p>
    <w:p w14:paraId="044A4434" w14:textId="2D159481" w:rsidR="00BF438C" w:rsidRPr="00616640" w:rsidRDefault="00BF438C" w:rsidP="00BF438C">
      <w:pPr>
        <w:spacing w:after="0"/>
        <w:jc w:val="center"/>
        <w:rPr>
          <w:b/>
          <w:lang w:val="en-GB"/>
        </w:rPr>
      </w:pPr>
      <w:r w:rsidRPr="00616640">
        <w:rPr>
          <w:b/>
          <w:lang w:val="en-GB"/>
        </w:rPr>
        <w:t xml:space="preserve">ON </w:t>
      </w:r>
      <w:r w:rsidR="00613CBB" w:rsidRPr="00616640">
        <w:rPr>
          <w:b/>
          <w:lang w:val="en-GB"/>
        </w:rPr>
        <w:t xml:space="preserve">SOME ELEMENTS OF </w:t>
      </w:r>
      <w:r w:rsidRPr="00616640">
        <w:rPr>
          <w:b/>
          <w:lang w:val="en-GB"/>
        </w:rPr>
        <w:t xml:space="preserve">THE </w:t>
      </w:r>
      <w:r w:rsidR="00F72688" w:rsidRPr="00616640">
        <w:rPr>
          <w:b/>
          <w:lang w:val="en-GB"/>
        </w:rPr>
        <w:t>PROPOSAL</w:t>
      </w:r>
      <w:r w:rsidRPr="00616640">
        <w:rPr>
          <w:b/>
          <w:lang w:val="en-GB"/>
        </w:rPr>
        <w:t xml:space="preserve"> O</w:t>
      </w:r>
      <w:r w:rsidR="00613CBB" w:rsidRPr="00616640">
        <w:rPr>
          <w:b/>
          <w:lang w:val="en-GB"/>
        </w:rPr>
        <w:t>N REVISION O</w:t>
      </w:r>
      <w:r w:rsidRPr="00616640">
        <w:rPr>
          <w:b/>
          <w:lang w:val="en-GB"/>
        </w:rPr>
        <w:t xml:space="preserve">F </w:t>
      </w:r>
      <w:r w:rsidR="00F72688" w:rsidRPr="00616640">
        <w:rPr>
          <w:b/>
          <w:lang w:val="en-GB"/>
        </w:rPr>
        <w:t xml:space="preserve">THE </w:t>
      </w:r>
      <w:r w:rsidRPr="00616640">
        <w:rPr>
          <w:b/>
          <w:lang w:val="en-GB"/>
        </w:rPr>
        <w:t>TRANS-EUROPEAN TRANSPORT NETWORK DEVELOPMENT</w:t>
      </w:r>
    </w:p>
    <w:p w14:paraId="6834AF4E" w14:textId="5DB3F24C" w:rsidR="005A0138" w:rsidRPr="00C53A83" w:rsidRDefault="00FC7897" w:rsidP="00C53A83">
      <w:pPr>
        <w:spacing w:after="0"/>
        <w:jc w:val="center"/>
        <w:rPr>
          <w:color w:val="000000" w:themeColor="text1"/>
          <w:lang w:val="en-GB"/>
        </w:rPr>
      </w:pPr>
      <w:r w:rsidRPr="00616640">
        <w:rPr>
          <w:color w:val="000000" w:themeColor="text1"/>
          <w:lang w:val="en-GB"/>
        </w:rPr>
        <w:t>(</w:t>
      </w:r>
      <w:r w:rsidR="00226F0C" w:rsidRPr="00616640">
        <w:rPr>
          <w:color w:val="000000" w:themeColor="text1"/>
          <w:lang w:val="en-GB"/>
        </w:rPr>
        <w:t xml:space="preserve">Le Bourget, </w:t>
      </w:r>
      <w:r w:rsidR="00085C12" w:rsidRPr="00616640">
        <w:rPr>
          <w:color w:val="000000" w:themeColor="text1"/>
          <w:lang w:val="en-GB"/>
        </w:rPr>
        <w:t xml:space="preserve">February </w:t>
      </w:r>
      <w:r w:rsidRPr="00616640">
        <w:rPr>
          <w:color w:val="000000" w:themeColor="text1"/>
          <w:lang w:val="en-GB"/>
        </w:rPr>
        <w:t>202</w:t>
      </w:r>
      <w:r w:rsidR="00085C12" w:rsidRPr="00616640">
        <w:rPr>
          <w:color w:val="000000" w:themeColor="text1"/>
          <w:lang w:val="en-GB"/>
        </w:rPr>
        <w:t>2</w:t>
      </w:r>
      <w:r w:rsidRPr="00616640">
        <w:rPr>
          <w:color w:val="000000" w:themeColor="text1"/>
          <w:lang w:val="en-GB"/>
        </w:rPr>
        <w:t>)</w:t>
      </w:r>
      <w:r w:rsidR="00C53A83">
        <w:rPr>
          <w:color w:val="000000" w:themeColor="text1"/>
          <w:lang w:val="en-GB"/>
        </w:rPr>
        <w:br/>
      </w:r>
    </w:p>
    <w:p w14:paraId="48362F9B" w14:textId="289F27C3" w:rsidR="0066141D" w:rsidRPr="00616640" w:rsidRDefault="00085C12" w:rsidP="005B6F94">
      <w:pPr>
        <w:jc w:val="both"/>
        <w:rPr>
          <w:lang w:val="en-GB"/>
        </w:rPr>
      </w:pPr>
      <w:r w:rsidRPr="00616640">
        <w:rPr>
          <w:rStyle w:val="jlqj4b"/>
          <w:lang w:val="en-GB"/>
        </w:rPr>
        <w:t xml:space="preserve">The Visegrad Group </w:t>
      </w:r>
      <w:r w:rsidR="00226F0C" w:rsidRPr="00616640">
        <w:rPr>
          <w:rStyle w:val="jlqj4b"/>
          <w:lang w:val="en-GB"/>
        </w:rPr>
        <w:t>states</w:t>
      </w:r>
      <w:r w:rsidRPr="00616640">
        <w:rPr>
          <w:rStyle w:val="jlqj4b"/>
          <w:lang w:val="en-GB"/>
        </w:rPr>
        <w:t xml:space="preserve"> (</w:t>
      </w:r>
      <w:r w:rsidRPr="004C6767">
        <w:rPr>
          <w:rStyle w:val="jlqj4b"/>
          <w:lang w:val="en-US"/>
        </w:rPr>
        <w:t xml:space="preserve">Czech Republic, Hungary, Republic of Poland, the Slovak Republic) present the following observation with regards to the Proposal for a Regulation of the European Parliament and of the Council on Union </w:t>
      </w:r>
      <w:r w:rsidRPr="00616640">
        <w:rPr>
          <w:rStyle w:val="jlqj4b"/>
          <w:lang w:val="en-GB"/>
        </w:rPr>
        <w:t>guidelines</w:t>
      </w:r>
      <w:r w:rsidRPr="004C6767">
        <w:rPr>
          <w:rStyle w:val="jlqj4b"/>
          <w:lang w:val="en-US"/>
        </w:rPr>
        <w:t xml:space="preserve"> for the development of the transport network, amending Regulation (EU) 2021/1153 and Regulation (EU) No 913/2010 and repealing Regulation (EU) 1315/2013 (</w:t>
      </w:r>
      <w:proofErr w:type="gramStart"/>
      <w:r w:rsidRPr="004C6767">
        <w:rPr>
          <w:rStyle w:val="jlqj4b"/>
          <w:lang w:val="en-US"/>
        </w:rPr>
        <w:t>COM(</w:t>
      </w:r>
      <w:proofErr w:type="gramEnd"/>
      <w:r w:rsidRPr="004C6767">
        <w:rPr>
          <w:rStyle w:val="jlqj4b"/>
          <w:lang w:val="en-US"/>
        </w:rPr>
        <w:t>2021) 812; 2021/0420 (COD)), published on 14</w:t>
      </w:r>
      <w:r w:rsidRPr="004C6767">
        <w:rPr>
          <w:rStyle w:val="jlqj4b"/>
          <w:vertAlign w:val="superscript"/>
          <w:lang w:val="en-US"/>
        </w:rPr>
        <w:t>th</w:t>
      </w:r>
      <w:r w:rsidRPr="004C6767">
        <w:rPr>
          <w:rStyle w:val="jlqj4b"/>
          <w:lang w:val="en-US"/>
        </w:rPr>
        <w:t xml:space="preserve"> December 2021. This joint </w:t>
      </w:r>
      <w:r w:rsidR="00F72688" w:rsidRPr="004C6767">
        <w:rPr>
          <w:rStyle w:val="jlqj4b"/>
          <w:lang w:val="en-US"/>
        </w:rPr>
        <w:t>statement</w:t>
      </w:r>
      <w:r w:rsidRPr="004C6767">
        <w:rPr>
          <w:rStyle w:val="jlqj4b"/>
          <w:lang w:val="en-US"/>
        </w:rPr>
        <w:t xml:space="preserve"> </w:t>
      </w:r>
      <w:r w:rsidR="00F72688" w:rsidRPr="004C6767">
        <w:rPr>
          <w:rStyle w:val="jlqj4b"/>
          <w:lang w:val="en-US"/>
        </w:rPr>
        <w:t>reinforces previous positions of the Visegrad Group alr</w:t>
      </w:r>
      <w:r w:rsidR="005A4F96" w:rsidRPr="004C6767">
        <w:rPr>
          <w:rStyle w:val="jlqj4b"/>
          <w:lang w:val="en-US"/>
        </w:rPr>
        <w:t>e</w:t>
      </w:r>
      <w:r w:rsidR="00F72688" w:rsidRPr="004C6767">
        <w:rPr>
          <w:rStyle w:val="jlqj4b"/>
          <w:lang w:val="en-US"/>
        </w:rPr>
        <w:t>ady communicated</w:t>
      </w:r>
      <w:r w:rsidR="00F72688" w:rsidRPr="00616640">
        <w:rPr>
          <w:rStyle w:val="jlqj4b"/>
          <w:lang w:val="en-GB"/>
        </w:rPr>
        <w:t xml:space="preserve"> i</w:t>
      </w:r>
      <w:r w:rsidR="00BF438C" w:rsidRPr="00616640">
        <w:rPr>
          <w:rStyle w:val="jlqj4b"/>
          <w:lang w:val="en-GB"/>
        </w:rPr>
        <w:t xml:space="preserve">n the context of the </w:t>
      </w:r>
      <w:r w:rsidR="00F72688" w:rsidRPr="00616640">
        <w:rPr>
          <w:rStyle w:val="jlqj4b"/>
          <w:lang w:val="en-GB"/>
        </w:rPr>
        <w:t>revision of the regulation on the t</w:t>
      </w:r>
      <w:r w:rsidR="00BF438C" w:rsidRPr="00616640">
        <w:rPr>
          <w:rStyle w:val="jlqj4b"/>
          <w:lang w:val="en-GB"/>
        </w:rPr>
        <w:t xml:space="preserve">rans-European </w:t>
      </w:r>
      <w:r w:rsidR="007A01C2" w:rsidRPr="00616640">
        <w:rPr>
          <w:rStyle w:val="jlqj4b"/>
          <w:lang w:val="en-GB"/>
        </w:rPr>
        <w:t>t</w:t>
      </w:r>
      <w:r w:rsidR="00BF438C" w:rsidRPr="00616640">
        <w:rPr>
          <w:rStyle w:val="jlqj4b"/>
          <w:lang w:val="en-GB"/>
        </w:rPr>
        <w:t xml:space="preserve">ransport </w:t>
      </w:r>
      <w:r w:rsidR="007A01C2" w:rsidRPr="00616640">
        <w:rPr>
          <w:rStyle w:val="jlqj4b"/>
          <w:lang w:val="en-GB"/>
        </w:rPr>
        <w:t>n</w:t>
      </w:r>
      <w:r w:rsidR="00BF438C" w:rsidRPr="00616640">
        <w:rPr>
          <w:rStyle w:val="jlqj4b"/>
          <w:lang w:val="en-GB"/>
        </w:rPr>
        <w:t xml:space="preserve">etwork </w:t>
      </w:r>
      <w:r w:rsidR="00FA10BD" w:rsidRPr="00616640">
        <w:rPr>
          <w:rStyle w:val="jlqj4b"/>
          <w:lang w:val="en-GB"/>
        </w:rPr>
        <w:t>(</w:t>
      </w:r>
      <w:r w:rsidR="00BF438C" w:rsidRPr="00616640">
        <w:rPr>
          <w:rStyle w:val="jlqj4b"/>
          <w:lang w:val="en-GB"/>
        </w:rPr>
        <w:t>TEN-T</w:t>
      </w:r>
      <w:r w:rsidR="00900283">
        <w:rPr>
          <w:rStyle w:val="jlqj4b"/>
          <w:lang w:val="en-GB"/>
        </w:rPr>
        <w:t>)</w:t>
      </w:r>
      <w:r w:rsidR="00F72688" w:rsidRPr="00616640">
        <w:rPr>
          <w:rStyle w:val="jlqj4b"/>
          <w:lang w:val="en-GB"/>
        </w:rPr>
        <w:t>.</w:t>
      </w:r>
    </w:p>
    <w:p w14:paraId="19186F50" w14:textId="77777777" w:rsidR="00BF438C" w:rsidRPr="00616640" w:rsidRDefault="00003308" w:rsidP="004A1FE2">
      <w:pPr>
        <w:jc w:val="both"/>
        <w:rPr>
          <w:rStyle w:val="jlqj4b"/>
          <w:b/>
          <w:lang w:val="en-GB"/>
        </w:rPr>
      </w:pPr>
      <w:r w:rsidRPr="00616640">
        <w:rPr>
          <w:rStyle w:val="jlqj4b"/>
          <w:b/>
          <w:lang w:val="en-GB"/>
        </w:rPr>
        <w:t>General observations</w:t>
      </w:r>
    </w:p>
    <w:p w14:paraId="22022E93" w14:textId="56ACA082" w:rsidR="004B01DA" w:rsidRPr="00616640" w:rsidRDefault="0091764E" w:rsidP="004B01DA">
      <w:pPr>
        <w:jc w:val="both"/>
        <w:rPr>
          <w:rStyle w:val="jlqj4b"/>
          <w:lang w:val="en-GB"/>
        </w:rPr>
      </w:pPr>
      <w:r w:rsidRPr="00616640">
        <w:rPr>
          <w:rStyle w:val="jlqj4b"/>
          <w:lang w:val="en-GB"/>
        </w:rPr>
        <w:t>T</w:t>
      </w:r>
      <w:r w:rsidR="00003308" w:rsidRPr="00616640">
        <w:rPr>
          <w:rStyle w:val="jlqj4b"/>
          <w:lang w:val="en-GB"/>
        </w:rPr>
        <w:t>he Visegrad Group countries</w:t>
      </w:r>
      <w:r w:rsidR="00133261" w:rsidRPr="00616640">
        <w:rPr>
          <w:rStyle w:val="jlqj4b"/>
          <w:lang w:val="en-GB"/>
        </w:rPr>
        <w:t xml:space="preserve"> generally </w:t>
      </w:r>
      <w:r w:rsidRPr="00616640">
        <w:rPr>
          <w:rStyle w:val="jlqj4b"/>
          <w:u w:val="single"/>
          <w:lang w:val="en-GB"/>
        </w:rPr>
        <w:t>welcome</w:t>
      </w:r>
      <w:r w:rsidR="00133261" w:rsidRPr="00616640">
        <w:rPr>
          <w:rStyle w:val="jlqj4b"/>
          <w:u w:val="single"/>
          <w:lang w:val="en-GB"/>
        </w:rPr>
        <w:t xml:space="preserve"> the revision of the TEN-T Policy and</w:t>
      </w:r>
      <w:r w:rsidRPr="00616640">
        <w:rPr>
          <w:rStyle w:val="jlqj4b"/>
          <w:lang w:val="en-GB"/>
        </w:rPr>
        <w:t xml:space="preserve"> the efforts to adjust legislation </w:t>
      </w:r>
      <w:r w:rsidRPr="00616640">
        <w:rPr>
          <w:rStyle w:val="jlqj4b"/>
          <w:u w:val="single"/>
          <w:lang w:val="en-GB"/>
        </w:rPr>
        <w:t xml:space="preserve">to better adapt </w:t>
      </w:r>
      <w:r w:rsidR="000E65B1" w:rsidRPr="00616640">
        <w:rPr>
          <w:rStyle w:val="jlqj4b"/>
          <w:u w:val="single"/>
          <w:lang w:val="en-GB"/>
        </w:rPr>
        <w:t>the trans-E</w:t>
      </w:r>
      <w:r w:rsidRPr="00616640">
        <w:rPr>
          <w:rStyle w:val="jlqj4b"/>
          <w:u w:val="single"/>
          <w:lang w:val="en-GB"/>
        </w:rPr>
        <w:t xml:space="preserve">uropean transport infrastructure </w:t>
      </w:r>
      <w:r w:rsidR="00121C8C" w:rsidRPr="00616640">
        <w:rPr>
          <w:rStyle w:val="jlqj4b"/>
          <w:u w:val="single"/>
          <w:lang w:val="en-GB"/>
        </w:rPr>
        <w:t>to the changing market demand</w:t>
      </w:r>
      <w:r w:rsidR="00121C8C" w:rsidRPr="00616640">
        <w:rPr>
          <w:rStyle w:val="jlqj4b"/>
          <w:lang w:val="en-GB"/>
        </w:rPr>
        <w:t xml:space="preserve"> and to </w:t>
      </w:r>
      <w:r w:rsidR="00121C8C" w:rsidRPr="00616640">
        <w:rPr>
          <w:rStyle w:val="jlqj4b"/>
          <w:u w:val="single"/>
          <w:lang w:val="en-GB"/>
        </w:rPr>
        <w:t xml:space="preserve">create the base for </w:t>
      </w:r>
      <w:r w:rsidR="00207521" w:rsidRPr="00616640">
        <w:rPr>
          <w:rStyle w:val="jlqj4b"/>
          <w:u w:val="single"/>
          <w:lang w:val="en-GB"/>
        </w:rPr>
        <w:t xml:space="preserve">reliable, </w:t>
      </w:r>
      <w:r w:rsidR="00121C8C" w:rsidRPr="00616640">
        <w:rPr>
          <w:rStyle w:val="jlqj4b"/>
          <w:u w:val="single"/>
          <w:lang w:val="en-GB"/>
        </w:rPr>
        <w:t>safe</w:t>
      </w:r>
      <w:r w:rsidR="005A4F96" w:rsidRPr="00616640">
        <w:rPr>
          <w:rStyle w:val="jlqj4b"/>
          <w:u w:val="single"/>
          <w:lang w:val="en-GB"/>
        </w:rPr>
        <w:t xml:space="preserve">, </w:t>
      </w:r>
      <w:r w:rsidR="00613CBB" w:rsidRPr="00616640">
        <w:rPr>
          <w:rStyle w:val="jlqj4b"/>
          <w:u w:val="single"/>
          <w:lang w:val="en-GB"/>
        </w:rPr>
        <w:t xml:space="preserve">resilient </w:t>
      </w:r>
      <w:r w:rsidR="00121C8C" w:rsidRPr="00616640">
        <w:rPr>
          <w:rStyle w:val="jlqj4b"/>
          <w:u w:val="single"/>
          <w:lang w:val="en-GB"/>
        </w:rPr>
        <w:t xml:space="preserve">and </w:t>
      </w:r>
      <w:r w:rsidR="00613CBB" w:rsidRPr="00616640">
        <w:rPr>
          <w:rStyle w:val="jlqj4b"/>
          <w:u w:val="single"/>
          <w:lang w:val="en-GB"/>
        </w:rPr>
        <w:t xml:space="preserve">sustainable </w:t>
      </w:r>
      <w:r w:rsidR="00121C8C" w:rsidRPr="00616640">
        <w:rPr>
          <w:rStyle w:val="jlqj4b"/>
          <w:u w:val="single"/>
          <w:lang w:val="en-GB"/>
        </w:rPr>
        <w:t>mobility</w:t>
      </w:r>
      <w:r w:rsidR="00121C8C" w:rsidRPr="00616640">
        <w:rPr>
          <w:rStyle w:val="jlqj4b"/>
          <w:lang w:val="en-GB"/>
        </w:rPr>
        <w:t xml:space="preserve">. </w:t>
      </w:r>
      <w:r w:rsidR="00613CBB" w:rsidRPr="00616640">
        <w:rPr>
          <w:rStyle w:val="jlqj4b"/>
          <w:lang w:val="en-GB"/>
        </w:rPr>
        <w:t xml:space="preserve">Furthermore, we </w:t>
      </w:r>
      <w:r w:rsidR="002F3B2E">
        <w:rPr>
          <w:rStyle w:val="jlqj4b"/>
          <w:lang w:val="en-GB"/>
        </w:rPr>
        <w:t xml:space="preserve">recognize the </w:t>
      </w:r>
      <w:r w:rsidR="00613CBB" w:rsidRPr="00616640">
        <w:rPr>
          <w:rStyle w:val="jlqj4b"/>
          <w:lang w:val="en-GB"/>
        </w:rPr>
        <w:t xml:space="preserve">potential of the revision </w:t>
      </w:r>
      <w:r w:rsidR="002F3B2E">
        <w:rPr>
          <w:rStyle w:val="jlqj4b"/>
          <w:lang w:val="en-GB"/>
        </w:rPr>
        <w:t>to</w:t>
      </w:r>
      <w:r w:rsidR="00613CBB" w:rsidRPr="00616640">
        <w:rPr>
          <w:rStyle w:val="jlqj4b"/>
          <w:lang w:val="en-GB"/>
        </w:rPr>
        <w:t xml:space="preserve"> boost closer cooperation among Member States, the European Commission, its coordinators and other institutions</w:t>
      </w:r>
      <w:r w:rsidR="002F3B2E">
        <w:rPr>
          <w:rStyle w:val="jlqj4b"/>
          <w:lang w:val="en-GB"/>
        </w:rPr>
        <w:t>.</w:t>
      </w:r>
      <w:r w:rsidR="00613CBB" w:rsidRPr="00616640">
        <w:rPr>
          <w:rStyle w:val="jlqj4b"/>
          <w:lang w:val="en-GB"/>
        </w:rPr>
        <w:t xml:space="preserve"> </w:t>
      </w:r>
      <w:r w:rsidR="002F3B2E">
        <w:rPr>
          <w:rStyle w:val="jlqj4b"/>
          <w:lang w:val="en-GB"/>
        </w:rPr>
        <w:t xml:space="preserve">This can benefit improved </w:t>
      </w:r>
      <w:r w:rsidR="00613CBB" w:rsidRPr="00616640">
        <w:rPr>
          <w:rStyle w:val="jlqj4b"/>
          <w:lang w:val="en-GB"/>
        </w:rPr>
        <w:t xml:space="preserve">management of the TEN-T networks, with a special intention to reduce bottlenecks and complete the network sufficiently and in a reasonable manner. </w:t>
      </w:r>
      <w:r w:rsidR="00133261" w:rsidRPr="00616640">
        <w:rPr>
          <w:rStyle w:val="jlqj4b"/>
          <w:lang w:val="en-GB"/>
        </w:rPr>
        <w:t>While</w:t>
      </w:r>
      <w:r w:rsidR="00121C8C" w:rsidRPr="00616640">
        <w:rPr>
          <w:rStyle w:val="jlqj4b"/>
          <w:lang w:val="en-GB"/>
        </w:rPr>
        <w:t xml:space="preserve"> the completion of the TEN-T core network by 2030 remain</w:t>
      </w:r>
      <w:r w:rsidR="00133261" w:rsidRPr="00616640">
        <w:rPr>
          <w:rStyle w:val="jlqj4b"/>
          <w:lang w:val="en-GB"/>
        </w:rPr>
        <w:t>s</w:t>
      </w:r>
      <w:r w:rsidR="00121C8C" w:rsidRPr="00616640">
        <w:rPr>
          <w:rStyle w:val="jlqj4b"/>
          <w:lang w:val="en-GB"/>
        </w:rPr>
        <w:t xml:space="preserve"> </w:t>
      </w:r>
      <w:r w:rsidR="00133261" w:rsidRPr="00616640">
        <w:rPr>
          <w:rStyle w:val="jlqj4b"/>
          <w:lang w:val="en-GB"/>
        </w:rPr>
        <w:t>our</w:t>
      </w:r>
      <w:r w:rsidR="00121C8C" w:rsidRPr="00616640">
        <w:rPr>
          <w:rStyle w:val="jlqj4b"/>
          <w:lang w:val="en-GB"/>
        </w:rPr>
        <w:t xml:space="preserve"> key priority</w:t>
      </w:r>
      <w:r w:rsidR="00133261" w:rsidRPr="00616640">
        <w:rPr>
          <w:rStyle w:val="jlqj4b"/>
          <w:lang w:val="en-GB"/>
        </w:rPr>
        <w:t>, we welcome addition of the</w:t>
      </w:r>
      <w:r w:rsidR="00121C8C" w:rsidRPr="00616640">
        <w:rPr>
          <w:rStyle w:val="jlqj4b"/>
          <w:lang w:val="en-GB"/>
        </w:rPr>
        <w:t xml:space="preserve"> extended core network</w:t>
      </w:r>
      <w:r w:rsidR="002F3B2E">
        <w:rPr>
          <w:rStyle w:val="jlqj4b"/>
          <w:lang w:val="en-GB"/>
        </w:rPr>
        <w:t>.</w:t>
      </w:r>
      <w:r w:rsidR="00121C8C" w:rsidRPr="00616640">
        <w:rPr>
          <w:rStyle w:val="jlqj4b"/>
          <w:lang w:val="en-GB"/>
        </w:rPr>
        <w:t xml:space="preserve"> </w:t>
      </w:r>
      <w:r w:rsidR="002F3B2E">
        <w:rPr>
          <w:rStyle w:val="jlqj4b"/>
          <w:lang w:val="en-GB"/>
        </w:rPr>
        <w:t>W</w:t>
      </w:r>
      <w:r w:rsidR="00133261" w:rsidRPr="00616640">
        <w:rPr>
          <w:rStyle w:val="jlqj4b"/>
          <w:lang w:val="en-GB"/>
        </w:rPr>
        <w:t xml:space="preserve">e see </w:t>
      </w:r>
      <w:r w:rsidR="002F3B2E">
        <w:rPr>
          <w:rStyle w:val="jlqj4b"/>
          <w:lang w:val="en-GB"/>
        </w:rPr>
        <w:t xml:space="preserve">it </w:t>
      </w:r>
      <w:r w:rsidR="00133261" w:rsidRPr="00616640">
        <w:rPr>
          <w:rStyle w:val="jlqj4b"/>
          <w:lang w:val="en-GB"/>
        </w:rPr>
        <w:t xml:space="preserve">as an important political signal to develop big infrastructure projects in the region of Central Europe, in particular high-speed railways and </w:t>
      </w:r>
      <w:r w:rsidR="002F3B2E">
        <w:rPr>
          <w:rStyle w:val="jlqj4b"/>
          <w:lang w:val="en-GB"/>
        </w:rPr>
        <w:t>thus help us</w:t>
      </w:r>
      <w:r w:rsidR="002F3B2E" w:rsidRPr="00616640">
        <w:rPr>
          <w:rStyle w:val="jlqj4b"/>
          <w:lang w:val="en-GB"/>
        </w:rPr>
        <w:t xml:space="preserve"> </w:t>
      </w:r>
      <w:r w:rsidR="00133261" w:rsidRPr="00616640">
        <w:rPr>
          <w:rStyle w:val="jlqj4b"/>
          <w:lang w:val="en-GB"/>
        </w:rPr>
        <w:t xml:space="preserve">meet goals set out in </w:t>
      </w:r>
      <w:r w:rsidR="004B131E" w:rsidRPr="00616640">
        <w:rPr>
          <w:rStyle w:val="jlqj4b"/>
          <w:lang w:val="en-GB"/>
        </w:rPr>
        <w:t xml:space="preserve">in the </w:t>
      </w:r>
      <w:r w:rsidR="000A449E" w:rsidRPr="00616640">
        <w:rPr>
          <w:rStyle w:val="jlqj4b"/>
          <w:lang w:val="en-GB"/>
        </w:rPr>
        <w:t xml:space="preserve">European </w:t>
      </w:r>
      <w:r w:rsidR="004B131E" w:rsidRPr="00616640">
        <w:rPr>
          <w:rStyle w:val="jlqj4b"/>
          <w:lang w:val="en-GB"/>
        </w:rPr>
        <w:t xml:space="preserve">Green Deal </w:t>
      </w:r>
      <w:r w:rsidR="000A449E" w:rsidRPr="00616640">
        <w:rPr>
          <w:rStyle w:val="jlqj4b"/>
          <w:lang w:val="en-GB"/>
        </w:rPr>
        <w:t xml:space="preserve">policy </w:t>
      </w:r>
      <w:r w:rsidR="004B131E" w:rsidRPr="00616640">
        <w:rPr>
          <w:rStyle w:val="jlqj4b"/>
          <w:lang w:val="en-GB"/>
        </w:rPr>
        <w:t xml:space="preserve">and in the Sustainable and Smart Mobility Strategy. </w:t>
      </w:r>
      <w:r w:rsidR="00236EEA" w:rsidRPr="00616640">
        <w:rPr>
          <w:rStyle w:val="jlqj4b"/>
          <w:lang w:val="en-GB"/>
        </w:rPr>
        <w:t xml:space="preserve">The further development </w:t>
      </w:r>
      <w:r w:rsidR="004742C2" w:rsidRPr="00616640">
        <w:rPr>
          <w:rStyle w:val="jlqj4b"/>
          <w:lang w:val="en-GB"/>
        </w:rPr>
        <w:t xml:space="preserve">of the TEN-T network by setting new deadlines </w:t>
      </w:r>
      <w:r w:rsidR="003A67B4" w:rsidRPr="00616640">
        <w:rPr>
          <w:rStyle w:val="jlqj4b"/>
          <w:lang w:val="en-GB"/>
        </w:rPr>
        <w:t>and new param</w:t>
      </w:r>
      <w:r w:rsidR="00A85406" w:rsidRPr="00616640">
        <w:rPr>
          <w:rStyle w:val="jlqj4b"/>
          <w:lang w:val="en-GB"/>
        </w:rPr>
        <w:t>e</w:t>
      </w:r>
      <w:r w:rsidR="003A67B4" w:rsidRPr="00616640">
        <w:rPr>
          <w:rStyle w:val="jlqj4b"/>
          <w:lang w:val="en-GB"/>
        </w:rPr>
        <w:t xml:space="preserve">ters </w:t>
      </w:r>
      <w:r w:rsidR="004B131E" w:rsidRPr="00616640">
        <w:rPr>
          <w:rStyle w:val="jlqj4b"/>
          <w:lang w:val="en-GB"/>
        </w:rPr>
        <w:t xml:space="preserve">has </w:t>
      </w:r>
      <w:r w:rsidR="004B131E" w:rsidRPr="00616640">
        <w:rPr>
          <w:rStyle w:val="jlqj4b"/>
          <w:u w:val="single"/>
          <w:lang w:val="en-GB"/>
        </w:rPr>
        <w:t>to</w:t>
      </w:r>
      <w:r w:rsidR="004742C2" w:rsidRPr="00616640">
        <w:rPr>
          <w:rStyle w:val="jlqj4b"/>
          <w:u w:val="single"/>
          <w:lang w:val="en-GB"/>
        </w:rPr>
        <w:t xml:space="preserve"> </w:t>
      </w:r>
      <w:r w:rsidR="003A67B4" w:rsidRPr="00616640">
        <w:rPr>
          <w:rStyle w:val="jlqj4b"/>
          <w:u w:val="single"/>
          <w:lang w:val="en-GB"/>
        </w:rPr>
        <w:t xml:space="preserve">be </w:t>
      </w:r>
      <w:r w:rsidR="003D14B3" w:rsidRPr="00616640">
        <w:rPr>
          <w:rStyle w:val="jlqj4b"/>
          <w:u w:val="single"/>
          <w:lang w:val="en-GB"/>
        </w:rPr>
        <w:t xml:space="preserve">accompanied </w:t>
      </w:r>
      <w:r w:rsidR="003A67B4" w:rsidRPr="00616640">
        <w:rPr>
          <w:rStyle w:val="jlqj4b"/>
          <w:u w:val="single"/>
          <w:lang w:val="en-GB"/>
        </w:rPr>
        <w:t>by</w:t>
      </w:r>
      <w:r w:rsidR="004742C2" w:rsidRPr="00616640">
        <w:rPr>
          <w:rStyle w:val="jlqj4b"/>
          <w:u w:val="single"/>
          <w:lang w:val="en-GB"/>
        </w:rPr>
        <w:t xml:space="preserve"> </w:t>
      </w:r>
      <w:r w:rsidR="00236EEA" w:rsidRPr="00616640">
        <w:rPr>
          <w:rStyle w:val="jlqj4b"/>
          <w:u w:val="single"/>
          <w:lang w:val="en-GB"/>
        </w:rPr>
        <w:t xml:space="preserve">appropriate </w:t>
      </w:r>
      <w:r w:rsidR="004742C2" w:rsidRPr="00616640">
        <w:rPr>
          <w:rStyle w:val="jlqj4b"/>
          <w:u w:val="single"/>
          <w:lang w:val="en-GB"/>
        </w:rPr>
        <w:t>financial resources</w:t>
      </w:r>
      <w:r w:rsidR="003D14B3" w:rsidRPr="00616640">
        <w:rPr>
          <w:rStyle w:val="jlqj4b"/>
          <w:lang w:val="en-GB"/>
        </w:rPr>
        <w:t xml:space="preserve"> to secure their implementation</w:t>
      </w:r>
      <w:r w:rsidR="000A449E" w:rsidRPr="00616640">
        <w:rPr>
          <w:rStyle w:val="jlqj4b"/>
          <w:lang w:val="en-GB"/>
        </w:rPr>
        <w:t xml:space="preserve"> beyond current funding period</w:t>
      </w:r>
      <w:r w:rsidR="004742C2" w:rsidRPr="00616640">
        <w:rPr>
          <w:rStyle w:val="jlqj4b"/>
          <w:lang w:val="en-GB"/>
        </w:rPr>
        <w:t>.</w:t>
      </w:r>
      <w:r w:rsidR="004B01DA" w:rsidRPr="00616640">
        <w:rPr>
          <w:rStyle w:val="jlqj4b"/>
          <w:lang w:val="en-GB"/>
        </w:rPr>
        <w:t xml:space="preserve"> </w:t>
      </w:r>
      <w:r w:rsidR="004B01DA" w:rsidRPr="004C6767">
        <w:rPr>
          <w:rStyle w:val="jlqj4b"/>
          <w:lang w:val="en-US"/>
        </w:rPr>
        <w:t xml:space="preserve">A clear commitment from the European Commission side is required that CEF funding in the future will tackle the projects </w:t>
      </w:r>
      <w:r w:rsidR="002F3B2E">
        <w:rPr>
          <w:rStyle w:val="jlqj4b"/>
          <w:lang w:val="en-US"/>
        </w:rPr>
        <w:t xml:space="preserve">also </w:t>
      </w:r>
      <w:r w:rsidR="004B01DA" w:rsidRPr="004C6767">
        <w:rPr>
          <w:rStyle w:val="jlqj4b"/>
          <w:lang w:val="en-US"/>
        </w:rPr>
        <w:t xml:space="preserve">on </w:t>
      </w:r>
      <w:r w:rsidR="0080342C" w:rsidRPr="004C6767">
        <w:rPr>
          <w:rStyle w:val="jlqj4b"/>
          <w:lang w:val="en-US"/>
        </w:rPr>
        <w:t xml:space="preserve">extended core </w:t>
      </w:r>
      <w:r w:rsidR="004B01DA" w:rsidRPr="004C6767">
        <w:rPr>
          <w:rStyle w:val="jlqj4b"/>
          <w:lang w:val="en-US"/>
        </w:rPr>
        <w:t xml:space="preserve">TEN-T </w:t>
      </w:r>
      <w:r w:rsidR="002F3B2E">
        <w:rPr>
          <w:rStyle w:val="jlqj4b"/>
          <w:lang w:val="en-US"/>
        </w:rPr>
        <w:t xml:space="preserve">network </w:t>
      </w:r>
      <w:r w:rsidR="004B01DA" w:rsidRPr="004C6767">
        <w:rPr>
          <w:rStyle w:val="jlqj4b"/>
          <w:lang w:val="en-US"/>
        </w:rPr>
        <w:t>as similar priority as projects on the TEN-T core network</w:t>
      </w:r>
      <w:r w:rsidR="002F3B2E">
        <w:rPr>
          <w:rStyle w:val="jlqj4b"/>
          <w:lang w:val="en-US"/>
        </w:rPr>
        <w:t>.</w:t>
      </w:r>
      <w:r w:rsidR="003D372F" w:rsidRPr="004C6767">
        <w:rPr>
          <w:rStyle w:val="jlqj4b"/>
          <w:lang w:val="en-US"/>
        </w:rPr>
        <w:t xml:space="preserve"> </w:t>
      </w:r>
      <w:r w:rsidR="002F3B2E">
        <w:rPr>
          <w:rStyle w:val="jlqj4b"/>
          <w:lang w:val="en-US"/>
        </w:rPr>
        <w:t>W</w:t>
      </w:r>
      <w:r w:rsidR="003D372F" w:rsidRPr="004C6767">
        <w:rPr>
          <w:rStyle w:val="jlqj4b"/>
          <w:lang w:val="en-US"/>
        </w:rPr>
        <w:t>e encourage the Commission to maintain a specific targeted allocation devoted to the significant cross-border</w:t>
      </w:r>
      <w:r w:rsidR="00B027F4" w:rsidRPr="004C6767">
        <w:rPr>
          <w:rStyle w:val="jlqj4b"/>
          <w:lang w:val="en-US"/>
        </w:rPr>
        <w:t xml:space="preserve"> rail</w:t>
      </w:r>
      <w:r w:rsidR="003D372F" w:rsidRPr="004C6767">
        <w:rPr>
          <w:rStyle w:val="jlqj4b"/>
          <w:lang w:val="en-US"/>
        </w:rPr>
        <w:t xml:space="preserve"> projects</w:t>
      </w:r>
      <w:r w:rsidR="00B027F4" w:rsidRPr="004C6767">
        <w:rPr>
          <w:rStyle w:val="jlqj4b"/>
          <w:lang w:val="en-US"/>
        </w:rPr>
        <w:t xml:space="preserve"> between the Cohesion Countries in the next CEF III proposal. </w:t>
      </w:r>
    </w:p>
    <w:p w14:paraId="2A4B7E3B" w14:textId="2F787F89" w:rsidR="005C1887" w:rsidRPr="00616640" w:rsidRDefault="005C1887" w:rsidP="005C1887">
      <w:pPr>
        <w:jc w:val="both"/>
        <w:rPr>
          <w:rStyle w:val="jlqj4b"/>
          <w:b/>
          <w:lang w:val="en-GB"/>
        </w:rPr>
      </w:pPr>
      <w:r w:rsidRPr="00616640">
        <w:rPr>
          <w:rStyle w:val="jlqj4b"/>
          <w:b/>
          <w:lang w:val="en-GB"/>
        </w:rPr>
        <w:t xml:space="preserve">TEN-T revision </w:t>
      </w:r>
      <w:r w:rsidR="00813A2F" w:rsidRPr="00616640">
        <w:rPr>
          <w:rStyle w:val="jlqj4b"/>
          <w:b/>
          <w:lang w:val="en-GB"/>
        </w:rPr>
        <w:t>as regards</w:t>
      </w:r>
      <w:r w:rsidRPr="00616640">
        <w:rPr>
          <w:rStyle w:val="jlqj4b"/>
          <w:b/>
          <w:lang w:val="en-GB"/>
        </w:rPr>
        <w:t xml:space="preserve"> the development of the </w:t>
      </w:r>
      <w:r w:rsidR="00813A2F" w:rsidRPr="00616640">
        <w:rPr>
          <w:rStyle w:val="jlqj4b"/>
          <w:b/>
          <w:lang w:val="en-GB"/>
        </w:rPr>
        <w:t>railway infrastructure</w:t>
      </w:r>
    </w:p>
    <w:p w14:paraId="5E235496" w14:textId="34145435" w:rsidR="000D3430" w:rsidRPr="00616640" w:rsidRDefault="000D3430" w:rsidP="001C1B64">
      <w:pPr>
        <w:jc w:val="both"/>
        <w:rPr>
          <w:rStyle w:val="jlqj4b"/>
          <w:lang w:val="en-GB"/>
        </w:rPr>
      </w:pPr>
      <w:r w:rsidRPr="00616640">
        <w:rPr>
          <w:rStyle w:val="jlqj4b"/>
          <w:lang w:val="en-GB"/>
        </w:rPr>
        <w:t xml:space="preserve">The Visegrad Group </w:t>
      </w:r>
      <w:r w:rsidR="001201E0">
        <w:rPr>
          <w:rStyle w:val="jlqj4b"/>
          <w:lang w:val="en-GB"/>
        </w:rPr>
        <w:t>countries</w:t>
      </w:r>
      <w:r w:rsidR="00962E3B">
        <w:rPr>
          <w:rStyle w:val="jlqj4b"/>
          <w:lang w:val="en-GB"/>
        </w:rPr>
        <w:t xml:space="preserve"> </w:t>
      </w:r>
      <w:r w:rsidR="002F3B2E">
        <w:rPr>
          <w:rStyle w:val="jlqj4b"/>
          <w:lang w:val="en-GB"/>
        </w:rPr>
        <w:t>recogni</w:t>
      </w:r>
      <w:r w:rsidR="001201E0">
        <w:rPr>
          <w:rStyle w:val="jlqj4b"/>
          <w:lang w:val="en-GB"/>
        </w:rPr>
        <w:t>z</w:t>
      </w:r>
      <w:r w:rsidR="002F3B2E">
        <w:rPr>
          <w:rStyle w:val="jlqj4b"/>
          <w:lang w:val="en-GB"/>
        </w:rPr>
        <w:t>e and welcome</w:t>
      </w:r>
      <w:r w:rsidRPr="00616640">
        <w:rPr>
          <w:rStyle w:val="jlqj4b"/>
          <w:lang w:val="en-GB"/>
        </w:rPr>
        <w:t xml:space="preserve"> the extension of the TEN-T network </w:t>
      </w:r>
      <w:r w:rsidR="00590E18" w:rsidRPr="00616640">
        <w:rPr>
          <w:rStyle w:val="jlqj4b"/>
          <w:lang w:val="en-GB"/>
        </w:rPr>
        <w:t>by in</w:t>
      </w:r>
      <w:r w:rsidR="001C1B64" w:rsidRPr="00616640">
        <w:rPr>
          <w:rStyle w:val="jlqj4b"/>
          <w:lang w:val="en-GB"/>
        </w:rPr>
        <w:t>cluding new elements of future High-Speed R</w:t>
      </w:r>
      <w:r w:rsidR="00590E18" w:rsidRPr="00616640">
        <w:rPr>
          <w:rStyle w:val="jlqj4b"/>
          <w:lang w:val="en-GB"/>
        </w:rPr>
        <w:t>ail network</w:t>
      </w:r>
      <w:r w:rsidR="002F3B2E">
        <w:rPr>
          <w:rStyle w:val="jlqj4b"/>
          <w:lang w:val="en-GB"/>
        </w:rPr>
        <w:t xml:space="preserve"> which should create a connection through all V4 countries with a potential to connect broader</w:t>
      </w:r>
      <w:r w:rsidR="00590E18" w:rsidRPr="00616640">
        <w:rPr>
          <w:rStyle w:val="jlqj4b"/>
          <w:lang w:val="en-GB"/>
        </w:rPr>
        <w:t xml:space="preserve"> Central Europe </w:t>
      </w:r>
      <w:r w:rsidR="002F3B2E">
        <w:rPr>
          <w:rStyle w:val="jlqj4b"/>
          <w:lang w:val="en-GB"/>
        </w:rPr>
        <w:t>region. W</w:t>
      </w:r>
      <w:r w:rsidR="00590E18" w:rsidRPr="00616640">
        <w:rPr>
          <w:rStyle w:val="jlqj4b"/>
          <w:lang w:val="en-GB"/>
        </w:rPr>
        <w:t xml:space="preserve">e especially welcome their inclusion into core or extended core TEN-T. We also welcome the </w:t>
      </w:r>
      <w:r w:rsidR="0007089E" w:rsidRPr="00616640">
        <w:rPr>
          <w:rStyle w:val="jlqj4b"/>
          <w:lang w:val="en-GB"/>
        </w:rPr>
        <w:t>integrat</w:t>
      </w:r>
      <w:r w:rsidR="00590E18" w:rsidRPr="00616640">
        <w:rPr>
          <w:rStyle w:val="jlqj4b"/>
          <w:lang w:val="en-GB"/>
        </w:rPr>
        <w:t>ion</w:t>
      </w:r>
      <w:r w:rsidR="0007089E" w:rsidRPr="00616640">
        <w:rPr>
          <w:rStyle w:val="jlqj4b"/>
          <w:lang w:val="en-GB"/>
        </w:rPr>
        <w:t xml:space="preserve"> </w:t>
      </w:r>
      <w:r w:rsidR="00590E18" w:rsidRPr="00616640">
        <w:rPr>
          <w:rStyle w:val="jlqj4b"/>
          <w:lang w:val="en-GB"/>
        </w:rPr>
        <w:t xml:space="preserve">of </w:t>
      </w:r>
      <w:r w:rsidRPr="00616640">
        <w:rPr>
          <w:rStyle w:val="jlqj4b"/>
          <w:lang w:val="en-GB"/>
        </w:rPr>
        <w:t xml:space="preserve">sections included in </w:t>
      </w:r>
      <w:r w:rsidRPr="00616640">
        <w:rPr>
          <w:rStyle w:val="jlqj4b"/>
          <w:lang w:val="en-GB"/>
        </w:rPr>
        <w:lastRenderedPageBreak/>
        <w:t>the Rail Freight Corridors (RFC)</w:t>
      </w:r>
      <w:r w:rsidR="00D756E8" w:rsidRPr="00616640">
        <w:rPr>
          <w:rStyle w:val="jlqj4b"/>
          <w:lang w:val="en-GB"/>
        </w:rPr>
        <w:t>, dominantly their main lines.</w:t>
      </w:r>
      <w:r w:rsidRPr="00616640">
        <w:rPr>
          <w:rStyle w:val="viiyi"/>
          <w:lang w:val="en-GB"/>
        </w:rPr>
        <w:t xml:space="preserve"> </w:t>
      </w:r>
      <w:r w:rsidR="00A45EFA">
        <w:rPr>
          <w:rStyle w:val="viiyi"/>
          <w:lang w:val="en-GB"/>
        </w:rPr>
        <w:t xml:space="preserve">While </w:t>
      </w:r>
      <w:r w:rsidR="00FD72CF" w:rsidRPr="00616640">
        <w:rPr>
          <w:rStyle w:val="jlqj4b"/>
          <w:u w:val="single"/>
          <w:lang w:val="en-GB"/>
        </w:rPr>
        <w:t>adding new</w:t>
      </w:r>
      <w:r w:rsidRPr="00616640">
        <w:rPr>
          <w:rStyle w:val="jlqj4b"/>
          <w:u w:val="single"/>
          <w:lang w:val="en-GB"/>
        </w:rPr>
        <w:t xml:space="preserve"> requirements</w:t>
      </w:r>
      <w:r w:rsidRPr="00616640">
        <w:rPr>
          <w:rStyle w:val="jlqj4b"/>
          <w:lang w:val="en-GB"/>
        </w:rPr>
        <w:t xml:space="preserve"> for t</w:t>
      </w:r>
      <w:r w:rsidR="00F73169" w:rsidRPr="00616640">
        <w:rPr>
          <w:rStyle w:val="jlqj4b"/>
          <w:lang w:val="en-GB"/>
        </w:rPr>
        <w:t>his mode of transport</w:t>
      </w:r>
      <w:r w:rsidR="00C42EC2" w:rsidRPr="00616640">
        <w:rPr>
          <w:rStyle w:val="jlqj4b"/>
          <w:lang w:val="en-GB"/>
        </w:rPr>
        <w:t xml:space="preserve"> (such as the P400 loading gauge, 740 m </w:t>
      </w:r>
      <w:r w:rsidR="008C59D4">
        <w:rPr>
          <w:rStyle w:val="jlqj4b"/>
          <w:lang w:val="en-GB"/>
        </w:rPr>
        <w:t xml:space="preserve">freight </w:t>
      </w:r>
      <w:r w:rsidR="00C42EC2" w:rsidRPr="00616640">
        <w:rPr>
          <w:rStyle w:val="jlqj4b"/>
          <w:lang w:val="en-GB"/>
        </w:rPr>
        <w:t>train length, 160 km/h minimum line speed</w:t>
      </w:r>
      <w:r w:rsidR="008C59D4">
        <w:rPr>
          <w:rStyle w:val="jlqj4b"/>
          <w:lang w:val="en-GB"/>
        </w:rPr>
        <w:t xml:space="preserve"> for passenger t</w:t>
      </w:r>
      <w:r w:rsidR="002F3B2E">
        <w:rPr>
          <w:rStyle w:val="jlqj4b"/>
          <w:lang w:val="en-GB"/>
        </w:rPr>
        <w:t>ransport</w:t>
      </w:r>
      <w:r w:rsidR="00C42EC2" w:rsidRPr="00616640">
        <w:rPr>
          <w:rStyle w:val="jlqj4b"/>
          <w:lang w:val="en-GB"/>
        </w:rPr>
        <w:t>)</w:t>
      </w:r>
      <w:r w:rsidR="00D756E8" w:rsidRPr="00616640">
        <w:rPr>
          <w:rStyle w:val="jlqj4b"/>
          <w:lang w:val="en-GB"/>
        </w:rPr>
        <w:t>,</w:t>
      </w:r>
      <w:r w:rsidRPr="00616640">
        <w:rPr>
          <w:rStyle w:val="jlqj4b"/>
          <w:lang w:val="en-GB"/>
        </w:rPr>
        <w:t xml:space="preserve"> </w:t>
      </w:r>
      <w:r w:rsidR="007B030D" w:rsidRPr="00616640">
        <w:rPr>
          <w:rStyle w:val="jlqj4b"/>
          <w:lang w:val="en-GB"/>
        </w:rPr>
        <w:t>c</w:t>
      </w:r>
      <w:r w:rsidR="00A45EFA">
        <w:rPr>
          <w:rStyle w:val="jlqj4b"/>
          <w:lang w:val="en-GB"/>
        </w:rPr>
        <w:t>ould</w:t>
      </w:r>
      <w:r w:rsidR="007B030D" w:rsidRPr="00616640">
        <w:rPr>
          <w:rStyle w:val="jlqj4b"/>
          <w:lang w:val="en-GB"/>
        </w:rPr>
        <w:t xml:space="preserve"> generally contribute to better performance of the future TEN-T railway network</w:t>
      </w:r>
      <w:r w:rsidR="008C2E4B">
        <w:rPr>
          <w:rStyle w:val="jlqj4b"/>
          <w:lang w:val="en-GB"/>
        </w:rPr>
        <w:t xml:space="preserve">, </w:t>
      </w:r>
      <w:r w:rsidR="00A45EFA">
        <w:rPr>
          <w:rStyle w:val="jlqj4b"/>
          <w:lang w:val="en-GB"/>
        </w:rPr>
        <w:t>it also may hinder the efficient railway infrastructure development</w:t>
      </w:r>
      <w:r w:rsidR="00900283">
        <w:rPr>
          <w:rStyle w:val="jlqj4b"/>
          <w:lang w:val="en-GB"/>
        </w:rPr>
        <w:t xml:space="preserve">. </w:t>
      </w:r>
      <w:r w:rsidR="00A45EFA">
        <w:rPr>
          <w:rStyle w:val="jlqj4b"/>
          <w:lang w:val="en-GB"/>
        </w:rPr>
        <w:t>As t</w:t>
      </w:r>
      <w:r w:rsidRPr="00616640">
        <w:rPr>
          <w:rStyle w:val="jlqj4b"/>
          <w:lang w:val="en-GB"/>
        </w:rPr>
        <w:t>he railway</w:t>
      </w:r>
      <w:r w:rsidR="00F73169" w:rsidRPr="00616640">
        <w:rPr>
          <w:rStyle w:val="jlqj4b"/>
          <w:lang w:val="en-GB"/>
        </w:rPr>
        <w:t>s</w:t>
      </w:r>
      <w:r w:rsidRPr="00616640">
        <w:rPr>
          <w:rStyle w:val="jlqj4b"/>
          <w:lang w:val="en-GB"/>
        </w:rPr>
        <w:t xml:space="preserve"> </w:t>
      </w:r>
      <w:r w:rsidR="00F73169" w:rsidRPr="00616640">
        <w:rPr>
          <w:rStyle w:val="jlqj4b"/>
          <w:lang w:val="en-GB"/>
        </w:rPr>
        <w:t>are</w:t>
      </w:r>
      <w:r w:rsidRPr="00616640">
        <w:rPr>
          <w:rStyle w:val="jlqj4b"/>
          <w:lang w:val="en-GB"/>
        </w:rPr>
        <w:t xml:space="preserve"> to play a key role in achieving the objectives of the EU </w:t>
      </w:r>
      <w:r w:rsidR="00447E58" w:rsidRPr="00616640">
        <w:rPr>
          <w:rStyle w:val="jlqj4b"/>
          <w:lang w:val="en-GB"/>
        </w:rPr>
        <w:t xml:space="preserve">sustainable </w:t>
      </w:r>
      <w:r w:rsidRPr="00616640">
        <w:rPr>
          <w:rStyle w:val="jlqj4b"/>
          <w:lang w:val="en-GB"/>
        </w:rPr>
        <w:t>transport polic</w:t>
      </w:r>
      <w:r w:rsidR="002F3B2E">
        <w:rPr>
          <w:rStyle w:val="jlqj4b"/>
          <w:lang w:val="en-GB"/>
        </w:rPr>
        <w:t>y</w:t>
      </w:r>
      <w:r w:rsidR="00F73169" w:rsidRPr="00616640">
        <w:rPr>
          <w:rStyle w:val="jlqj4b"/>
          <w:lang w:val="en-GB"/>
        </w:rPr>
        <w:t xml:space="preserve"> </w:t>
      </w:r>
      <w:r w:rsidR="00A45EFA">
        <w:rPr>
          <w:rStyle w:val="jlqj4b"/>
          <w:lang w:val="en-GB"/>
        </w:rPr>
        <w:t>it</w:t>
      </w:r>
      <w:r w:rsidRPr="00616640">
        <w:rPr>
          <w:rStyle w:val="jlqj4b"/>
          <w:lang w:val="en-GB"/>
        </w:rPr>
        <w:t xml:space="preserve"> </w:t>
      </w:r>
      <w:r w:rsidR="00F73169" w:rsidRPr="00616640">
        <w:rPr>
          <w:rStyle w:val="jlqj4b"/>
          <w:lang w:val="en-GB"/>
        </w:rPr>
        <w:t xml:space="preserve">creates very </w:t>
      </w:r>
      <w:r w:rsidRPr="00616640">
        <w:rPr>
          <w:rStyle w:val="jlqj4b"/>
          <w:lang w:val="en-GB"/>
        </w:rPr>
        <w:t xml:space="preserve">high investment </w:t>
      </w:r>
      <w:r w:rsidR="00F73169" w:rsidRPr="00616640">
        <w:rPr>
          <w:rStyle w:val="jlqj4b"/>
          <w:lang w:val="en-GB"/>
        </w:rPr>
        <w:t>need</w:t>
      </w:r>
      <w:r w:rsidRPr="00616640">
        <w:rPr>
          <w:rStyle w:val="jlqj4b"/>
          <w:lang w:val="en-GB"/>
        </w:rPr>
        <w:t>s</w:t>
      </w:r>
      <w:r w:rsidR="00F73169" w:rsidRPr="00616640">
        <w:rPr>
          <w:rStyle w:val="jlqj4b"/>
          <w:lang w:val="en-GB"/>
        </w:rPr>
        <w:t xml:space="preserve"> </w:t>
      </w:r>
      <w:r w:rsidR="002F3B2E">
        <w:rPr>
          <w:rStyle w:val="jlqj4b"/>
          <w:lang w:val="en-GB"/>
        </w:rPr>
        <w:t>related to</w:t>
      </w:r>
      <w:r w:rsidR="00F73169" w:rsidRPr="00616640">
        <w:rPr>
          <w:rStyle w:val="jlqj4b"/>
          <w:lang w:val="en-GB"/>
        </w:rPr>
        <w:t xml:space="preserve"> this </w:t>
      </w:r>
      <w:r w:rsidR="002F3B2E">
        <w:rPr>
          <w:rStyle w:val="jlqj4b"/>
          <w:lang w:val="en-GB"/>
        </w:rPr>
        <w:t xml:space="preserve">transport </w:t>
      </w:r>
      <w:r w:rsidR="00F73169" w:rsidRPr="00616640">
        <w:rPr>
          <w:rStyle w:val="jlqj4b"/>
          <w:lang w:val="en-GB"/>
        </w:rPr>
        <w:t>mode.</w:t>
      </w:r>
      <w:r w:rsidR="00065B3A" w:rsidRPr="003B5941">
        <w:rPr>
          <w:rStyle w:val="jlqj4b"/>
          <w:lang w:val="en-US"/>
        </w:rPr>
        <w:t xml:space="preserve"> It is therefore a prerequisite to ensure sufficient funding </w:t>
      </w:r>
      <w:r w:rsidR="00A45EFA">
        <w:rPr>
          <w:rStyle w:val="jlqj4b"/>
          <w:lang w:val="en-US"/>
        </w:rPr>
        <w:t>at</w:t>
      </w:r>
      <w:r w:rsidR="00065B3A" w:rsidRPr="003B5941">
        <w:rPr>
          <w:rStyle w:val="jlqj4b"/>
          <w:lang w:val="en-US"/>
        </w:rPr>
        <w:t xml:space="preserve"> the European level.</w:t>
      </w:r>
      <w:r w:rsidR="00D756E8" w:rsidRPr="003B5941">
        <w:rPr>
          <w:rStyle w:val="jlqj4b"/>
          <w:lang w:val="en-US"/>
        </w:rPr>
        <w:t xml:space="preserve"> </w:t>
      </w:r>
      <w:r w:rsidR="00327C97">
        <w:rPr>
          <w:rStyle w:val="jlqj4b"/>
          <w:lang w:val="en-US"/>
        </w:rPr>
        <w:t>The proposed new</w:t>
      </w:r>
      <w:r w:rsidR="00A45EFA">
        <w:rPr>
          <w:rStyle w:val="jlqj4b"/>
          <w:lang w:val="en-US"/>
        </w:rPr>
        <w:t xml:space="preserve"> standards</w:t>
      </w:r>
      <w:r w:rsidR="00886ACD" w:rsidRPr="003B5941">
        <w:rPr>
          <w:rStyle w:val="jlqj4b"/>
          <w:lang w:val="en-US"/>
        </w:rPr>
        <w:t xml:space="preserve"> not just increase the costs of the remaining required developments but also could require further interventions even on recently completed lines.</w:t>
      </w:r>
    </w:p>
    <w:p w14:paraId="0C70E1D0" w14:textId="209C2601" w:rsidR="0015228B" w:rsidRPr="003B5941" w:rsidRDefault="006F4E8A" w:rsidP="0015228B">
      <w:pPr>
        <w:jc w:val="both"/>
        <w:rPr>
          <w:lang w:val="en-US"/>
        </w:rPr>
      </w:pPr>
      <w:r w:rsidRPr="003B5941">
        <w:rPr>
          <w:lang w:val="en-US"/>
        </w:rPr>
        <w:t xml:space="preserve">Regarding ERTMS, we support its implementation in the TEN-T network within the </w:t>
      </w:r>
      <w:r w:rsidR="00477B1B" w:rsidRPr="003B5941">
        <w:rPr>
          <w:lang w:val="en-US"/>
        </w:rPr>
        <w:t xml:space="preserve">currently </w:t>
      </w:r>
      <w:r w:rsidRPr="003B5941">
        <w:rPr>
          <w:lang w:val="en-US"/>
        </w:rPr>
        <w:t>set deadlines, while implying step-by-step approach to secure safety and interoperability of the network.</w:t>
      </w:r>
      <w:r w:rsidR="00477B1B" w:rsidRPr="003B5941">
        <w:rPr>
          <w:lang w:val="en-US"/>
        </w:rPr>
        <w:t xml:space="preserve"> </w:t>
      </w:r>
    </w:p>
    <w:p w14:paraId="3CB43538" w14:textId="37726AF5" w:rsidR="008852E1" w:rsidRPr="009C4586" w:rsidRDefault="008852E1" w:rsidP="008852E1">
      <w:pPr>
        <w:jc w:val="both"/>
        <w:rPr>
          <w:lang w:val="en-GB"/>
        </w:rPr>
      </w:pPr>
      <w:r w:rsidRPr="00826AD1">
        <w:rPr>
          <w:lang w:val="en-GB"/>
        </w:rPr>
        <w:t>The V4 call</w:t>
      </w:r>
      <w:r w:rsidR="00327C97">
        <w:rPr>
          <w:lang w:val="en-GB"/>
        </w:rPr>
        <w:t>s</w:t>
      </w:r>
      <w:r w:rsidRPr="00826AD1">
        <w:rPr>
          <w:lang w:val="en-GB"/>
        </w:rPr>
        <w:t xml:space="preserve"> to take into account the multi-actor nature of the requirement regarding border crossing waiting times. It </w:t>
      </w:r>
      <w:r w:rsidR="00327C97">
        <w:rPr>
          <w:lang w:val="en-GB"/>
        </w:rPr>
        <w:t>goes</w:t>
      </w:r>
      <w:r w:rsidR="00327C97" w:rsidRPr="00826AD1">
        <w:rPr>
          <w:lang w:val="en-GB"/>
        </w:rPr>
        <w:t xml:space="preserve"> </w:t>
      </w:r>
      <w:r w:rsidRPr="00826AD1">
        <w:rPr>
          <w:lang w:val="en-GB"/>
        </w:rPr>
        <w:t>far beyond the activity of rail infrastructure managers</w:t>
      </w:r>
      <w:r w:rsidR="00826AD1" w:rsidRPr="00826AD1">
        <w:rPr>
          <w:lang w:val="en-GB"/>
        </w:rPr>
        <w:t xml:space="preserve">, relying </w:t>
      </w:r>
      <w:r w:rsidRPr="00826AD1">
        <w:rPr>
          <w:lang w:val="en-GB"/>
        </w:rPr>
        <w:t xml:space="preserve">very much also on procedures of (usually private) railway undertakings and especially on border- and custom related duties which </w:t>
      </w:r>
      <w:r w:rsidR="00A45EFA">
        <w:rPr>
          <w:lang w:val="en-GB"/>
        </w:rPr>
        <w:t>are independent from</w:t>
      </w:r>
      <w:r w:rsidRPr="00826AD1">
        <w:rPr>
          <w:lang w:val="en-GB"/>
        </w:rPr>
        <w:t xml:space="preserve"> multiannual contractual agreements between the </w:t>
      </w:r>
      <w:r w:rsidR="008C59D4">
        <w:rPr>
          <w:lang w:val="en-GB"/>
        </w:rPr>
        <w:t>M</w:t>
      </w:r>
      <w:r w:rsidRPr="00826AD1">
        <w:rPr>
          <w:lang w:val="en-GB"/>
        </w:rPr>
        <w:t xml:space="preserve">ember </w:t>
      </w:r>
      <w:r w:rsidR="008C59D4">
        <w:rPr>
          <w:lang w:val="en-GB"/>
        </w:rPr>
        <w:t>S</w:t>
      </w:r>
      <w:r w:rsidRPr="00826AD1">
        <w:rPr>
          <w:lang w:val="en-GB"/>
        </w:rPr>
        <w:t xml:space="preserve">tates and the infrastructure managers contrary to the stipulations of the proposal. </w:t>
      </w:r>
    </w:p>
    <w:p w14:paraId="785A0BD8" w14:textId="77777777" w:rsidR="00285D5C" w:rsidRPr="00616640" w:rsidRDefault="00C23F79" w:rsidP="005C1887">
      <w:pPr>
        <w:jc w:val="both"/>
        <w:rPr>
          <w:b/>
          <w:lang w:val="en-GB"/>
        </w:rPr>
      </w:pPr>
      <w:r w:rsidRPr="00616640">
        <w:rPr>
          <w:b/>
          <w:lang w:val="en-GB"/>
        </w:rPr>
        <w:t>Urban nodes and intermodal transport</w:t>
      </w:r>
    </w:p>
    <w:p w14:paraId="318549F7" w14:textId="1AF5CD67" w:rsidR="00EF7C49" w:rsidRPr="00616640" w:rsidRDefault="005F602C" w:rsidP="006B42C9">
      <w:pPr>
        <w:jc w:val="both"/>
        <w:rPr>
          <w:rStyle w:val="jlqj4b"/>
          <w:lang w:val="en-GB"/>
        </w:rPr>
      </w:pPr>
      <w:r w:rsidRPr="00616640">
        <w:rPr>
          <w:lang w:val="en-GB"/>
        </w:rPr>
        <w:t xml:space="preserve">V4 countries in general welcome the idea of strengthening urban layer of TEN-T policy. However, one should bear in mind that </w:t>
      </w:r>
      <w:r w:rsidR="00EF7C49" w:rsidRPr="00616640">
        <w:rPr>
          <w:rStyle w:val="jlqj4b"/>
          <w:lang w:val="en-GB"/>
        </w:rPr>
        <w:t xml:space="preserve">a significant </w:t>
      </w:r>
      <w:r w:rsidR="00EF7C49" w:rsidRPr="00616640">
        <w:rPr>
          <w:rStyle w:val="jlqj4b"/>
          <w:u w:val="single"/>
          <w:lang w:val="en-GB"/>
        </w:rPr>
        <w:t>extension of the list of urban nodes</w:t>
      </w:r>
      <w:r w:rsidR="00EF7C49" w:rsidRPr="00616640">
        <w:rPr>
          <w:rStyle w:val="jlqj4b"/>
          <w:lang w:val="en-GB"/>
        </w:rPr>
        <w:t xml:space="preserve"> and linking this </w:t>
      </w:r>
      <w:r w:rsidR="00444680" w:rsidRPr="00616640">
        <w:rPr>
          <w:rStyle w:val="jlqj4b"/>
          <w:lang w:val="en-GB"/>
        </w:rPr>
        <w:t>list</w:t>
      </w:r>
      <w:r w:rsidR="00EF7C49" w:rsidRPr="00616640">
        <w:rPr>
          <w:rStyle w:val="jlqj4b"/>
          <w:lang w:val="en-GB"/>
        </w:rPr>
        <w:t xml:space="preserve"> </w:t>
      </w:r>
      <w:r w:rsidR="00E34CE5" w:rsidRPr="00616640">
        <w:rPr>
          <w:rStyle w:val="jlqj4b"/>
          <w:lang w:val="en-GB"/>
        </w:rPr>
        <w:t>to</w:t>
      </w:r>
      <w:r w:rsidR="00EF7C49" w:rsidRPr="00616640">
        <w:rPr>
          <w:rStyle w:val="jlqj4b"/>
          <w:lang w:val="en-GB"/>
        </w:rPr>
        <w:t xml:space="preserve"> the necessity to build at least one </w:t>
      </w:r>
      <w:r w:rsidR="00444680" w:rsidRPr="00616640">
        <w:rPr>
          <w:rStyle w:val="jlqj4b"/>
          <w:lang w:val="en-GB"/>
        </w:rPr>
        <w:t>freight</w:t>
      </w:r>
      <w:r w:rsidR="00EF7C49" w:rsidRPr="00616640">
        <w:rPr>
          <w:rStyle w:val="jlqj4b"/>
          <w:lang w:val="en-GB"/>
        </w:rPr>
        <w:t xml:space="preserve"> and passenger terminal in each node will result in a </w:t>
      </w:r>
      <w:r w:rsidR="00E34CE5" w:rsidRPr="00616640">
        <w:rPr>
          <w:rStyle w:val="jlqj4b"/>
          <w:lang w:val="en-GB"/>
        </w:rPr>
        <w:t xml:space="preserve">substantial demand for financial resources. </w:t>
      </w:r>
      <w:r w:rsidR="00B226D0" w:rsidRPr="004C6767">
        <w:rPr>
          <w:rStyle w:val="jlqj4b"/>
          <w:lang w:val="en-US"/>
        </w:rPr>
        <w:t>Sufficient EU funding</w:t>
      </w:r>
      <w:r w:rsidR="004F0FB4" w:rsidRPr="004C6767">
        <w:rPr>
          <w:rStyle w:val="jlqj4b"/>
          <w:lang w:val="en-US"/>
        </w:rPr>
        <w:t xml:space="preserve"> and </w:t>
      </w:r>
      <w:r w:rsidR="000F50B8" w:rsidRPr="004C6767">
        <w:rPr>
          <w:rStyle w:val="jlqj4b"/>
          <w:lang w:val="en-US"/>
        </w:rPr>
        <w:t xml:space="preserve">revised </w:t>
      </w:r>
      <w:r w:rsidR="00A16B19" w:rsidRPr="004C6767">
        <w:rPr>
          <w:rStyle w:val="jlqj4b"/>
          <w:lang w:val="en-US"/>
        </w:rPr>
        <w:t xml:space="preserve">transport relevant </w:t>
      </w:r>
      <w:r w:rsidR="004F0FB4" w:rsidRPr="004C6767">
        <w:rPr>
          <w:rStyle w:val="jlqj4b"/>
          <w:lang w:val="en-US"/>
        </w:rPr>
        <w:t xml:space="preserve">EU </w:t>
      </w:r>
      <w:r w:rsidR="00A16B19" w:rsidRPr="004C6767">
        <w:rPr>
          <w:rStyle w:val="jlqj4b"/>
          <w:lang w:val="en-US"/>
        </w:rPr>
        <w:t>S</w:t>
      </w:r>
      <w:r w:rsidR="004F0FB4" w:rsidRPr="004C6767">
        <w:rPr>
          <w:rStyle w:val="jlqj4b"/>
          <w:lang w:val="en-US"/>
        </w:rPr>
        <w:t xml:space="preserve">tate aid rules </w:t>
      </w:r>
      <w:r w:rsidR="00B226D0" w:rsidRPr="004C6767">
        <w:rPr>
          <w:rStyle w:val="jlqj4b"/>
          <w:lang w:val="en-US"/>
        </w:rPr>
        <w:t xml:space="preserve">in this area </w:t>
      </w:r>
      <w:r w:rsidR="000F50B8" w:rsidRPr="004C6767">
        <w:rPr>
          <w:rStyle w:val="jlqj4b"/>
          <w:lang w:val="en-US"/>
        </w:rPr>
        <w:t xml:space="preserve">are </w:t>
      </w:r>
      <w:r w:rsidR="00B226D0" w:rsidRPr="004C6767">
        <w:rPr>
          <w:rStyle w:val="jlqj4b"/>
          <w:lang w:val="en-US"/>
        </w:rPr>
        <w:t xml:space="preserve">essential precondition to </w:t>
      </w:r>
      <w:r w:rsidR="00B226D0" w:rsidRPr="00616640">
        <w:rPr>
          <w:rStyle w:val="jlqj4b"/>
          <w:lang w:val="en-GB"/>
        </w:rPr>
        <w:t>fulfil</w:t>
      </w:r>
      <w:r w:rsidR="00B226D0" w:rsidRPr="004C6767">
        <w:rPr>
          <w:rStyle w:val="jlqj4b"/>
          <w:lang w:val="en-US"/>
        </w:rPr>
        <w:t xml:space="preserve"> all new proposed requirements. We would also </w:t>
      </w:r>
      <w:r w:rsidR="003A59D4" w:rsidRPr="004C6767">
        <w:rPr>
          <w:rStyle w:val="jlqj4b"/>
          <w:lang w:val="en-US"/>
        </w:rPr>
        <w:t xml:space="preserve">like to </w:t>
      </w:r>
      <w:r w:rsidR="00B226D0" w:rsidRPr="004C6767">
        <w:rPr>
          <w:rStyle w:val="jlqj4b"/>
          <w:lang w:val="en-US"/>
        </w:rPr>
        <w:t xml:space="preserve">draw </w:t>
      </w:r>
      <w:r w:rsidR="00F63152" w:rsidRPr="00616640">
        <w:rPr>
          <w:rStyle w:val="jlqj4b"/>
          <w:lang w:val="en-US"/>
        </w:rPr>
        <w:t xml:space="preserve">the </w:t>
      </w:r>
      <w:r w:rsidR="006B42C9" w:rsidRPr="00616640">
        <w:rPr>
          <w:rStyle w:val="jlqj4b"/>
          <w:lang w:val="en-US"/>
        </w:rPr>
        <w:t xml:space="preserve">European </w:t>
      </w:r>
      <w:r w:rsidR="00B226D0" w:rsidRPr="00616640">
        <w:rPr>
          <w:rStyle w:val="jlqj4b"/>
          <w:lang w:val="en-US"/>
        </w:rPr>
        <w:t>Commission</w:t>
      </w:r>
      <w:r w:rsidR="006B42C9" w:rsidRPr="00616640">
        <w:rPr>
          <w:rStyle w:val="jlqj4b"/>
          <w:lang w:val="en-US"/>
        </w:rPr>
        <w:t>’s</w:t>
      </w:r>
      <w:r w:rsidR="00B226D0" w:rsidRPr="004C6767">
        <w:rPr>
          <w:rStyle w:val="jlqj4b"/>
          <w:lang w:val="en-US"/>
        </w:rPr>
        <w:t xml:space="preserve"> attention that in case of</w:t>
      </w:r>
      <w:r w:rsidR="00EF7C49" w:rsidRPr="00616640">
        <w:rPr>
          <w:rStyle w:val="jlqj4b"/>
          <w:lang w:val="en-GB"/>
        </w:rPr>
        <w:t xml:space="preserve"> both passenger transport (e.g. participation of municipal authorities) and </w:t>
      </w:r>
      <w:r w:rsidR="00EF7C49" w:rsidRPr="004C6767">
        <w:rPr>
          <w:rStyle w:val="jlqj4b"/>
          <w:lang w:val="en-US"/>
        </w:rPr>
        <w:t>freight</w:t>
      </w:r>
      <w:r w:rsidR="00015531" w:rsidRPr="004C6767">
        <w:rPr>
          <w:rStyle w:val="jlqj4b"/>
          <w:lang w:val="en-US"/>
        </w:rPr>
        <w:t xml:space="preserve"> </w:t>
      </w:r>
      <w:r w:rsidR="00015531" w:rsidRPr="004C6767">
        <w:rPr>
          <w:rStyle w:val="jlqj4b"/>
          <w:u w:val="single"/>
          <w:lang w:val="en-US"/>
        </w:rPr>
        <w:t>terminals</w:t>
      </w:r>
      <w:r w:rsidR="00EF7C49" w:rsidRPr="004C6767">
        <w:rPr>
          <w:rStyle w:val="jlqj4b"/>
          <w:lang w:val="en-US"/>
        </w:rPr>
        <w:t xml:space="preserve"> </w:t>
      </w:r>
      <w:r w:rsidR="00B226D0" w:rsidRPr="004C6767">
        <w:rPr>
          <w:rStyle w:val="jlqj4b"/>
          <w:lang w:val="en-US"/>
        </w:rPr>
        <w:t xml:space="preserve">the </w:t>
      </w:r>
      <w:r w:rsidR="00B226D0" w:rsidRPr="00616640">
        <w:rPr>
          <w:rStyle w:val="jlqj4b"/>
          <w:lang w:val="en-GB"/>
        </w:rPr>
        <w:t>fulfilment</w:t>
      </w:r>
      <w:r w:rsidR="00B226D0" w:rsidRPr="004C6767">
        <w:rPr>
          <w:rStyle w:val="jlqj4b"/>
          <w:lang w:val="en-US"/>
        </w:rPr>
        <w:t xml:space="preserve"> of this obligation</w:t>
      </w:r>
      <w:r w:rsidR="00EF7C49" w:rsidRPr="00616640">
        <w:rPr>
          <w:rStyle w:val="jlqj4b"/>
          <w:lang w:val="en-GB"/>
        </w:rPr>
        <w:t xml:space="preserve"> may </w:t>
      </w:r>
      <w:r w:rsidR="00580920" w:rsidRPr="00616640">
        <w:rPr>
          <w:rStyle w:val="jlqj4b"/>
          <w:lang w:val="en-GB"/>
        </w:rPr>
        <w:t xml:space="preserve">also </w:t>
      </w:r>
      <w:r w:rsidR="00EF7C49" w:rsidRPr="00616640">
        <w:rPr>
          <w:rStyle w:val="jlqj4b"/>
          <w:lang w:val="en-GB"/>
        </w:rPr>
        <w:t>result in competence and financial disputes</w:t>
      </w:r>
      <w:r w:rsidR="00B226D0" w:rsidRPr="004C6767">
        <w:rPr>
          <w:rStyle w:val="jlqj4b"/>
          <w:lang w:val="en-US"/>
        </w:rPr>
        <w:t xml:space="preserve"> since terminals mostly belong to the private sector.</w:t>
      </w:r>
      <w:r w:rsidR="00015531" w:rsidRPr="004C6767">
        <w:rPr>
          <w:rStyle w:val="jlqj4b"/>
          <w:lang w:val="en-US"/>
        </w:rPr>
        <w:t xml:space="preserve"> In the case of freight terminals, the current approach should therefore be maintained - a minimum of one terminal in each NUTS II region and additional terminals taking into account the reported minimum required performance</w:t>
      </w:r>
      <w:r w:rsidR="00EF7C49" w:rsidRPr="00616640">
        <w:rPr>
          <w:rStyle w:val="jlqj4b"/>
          <w:lang w:val="en-GB"/>
        </w:rPr>
        <w:t>.</w:t>
      </w:r>
    </w:p>
    <w:p w14:paraId="6173632B" w14:textId="66B828AE" w:rsidR="009566EF" w:rsidRPr="00616640" w:rsidRDefault="009566EF" w:rsidP="009566EF">
      <w:pPr>
        <w:jc w:val="both"/>
        <w:rPr>
          <w:lang w:val="en-GB"/>
        </w:rPr>
      </w:pPr>
      <w:r w:rsidRPr="00616640">
        <w:rPr>
          <w:lang w:val="en-GB"/>
        </w:rPr>
        <w:t>The V4 countries also express doubts about the proposed requirement to report data on urban mobility, creating further reporting obligations generating costs and burden for the administration.</w:t>
      </w:r>
      <w:r w:rsidR="008B21E2" w:rsidRPr="00616640">
        <w:rPr>
          <w:lang w:val="en-GB"/>
        </w:rPr>
        <w:t xml:space="preserve"> Member </w:t>
      </w:r>
      <w:r w:rsidR="008C59D4">
        <w:rPr>
          <w:lang w:val="en-GB"/>
        </w:rPr>
        <w:t>S</w:t>
      </w:r>
      <w:r w:rsidR="008B21E2" w:rsidRPr="00616640">
        <w:rPr>
          <w:lang w:val="en-GB"/>
        </w:rPr>
        <w:t xml:space="preserve">tates are not in the position to properly </w:t>
      </w:r>
      <w:r w:rsidR="00F80FE5" w:rsidRPr="00616640">
        <w:rPr>
          <w:lang w:val="en-GB"/>
        </w:rPr>
        <w:t>analyse</w:t>
      </w:r>
      <w:r w:rsidR="008B21E2" w:rsidRPr="00616640">
        <w:rPr>
          <w:lang w:val="en-GB"/>
        </w:rPr>
        <w:t xml:space="preserve"> the effects and to discuss the needs with the interested cities as long as the </w:t>
      </w:r>
      <w:r w:rsidR="00F66EB3" w:rsidRPr="00616640">
        <w:rPr>
          <w:lang w:val="en-GB"/>
        </w:rPr>
        <w:t xml:space="preserve">methodology for the </w:t>
      </w:r>
      <w:r w:rsidR="008B21E2" w:rsidRPr="00616640">
        <w:rPr>
          <w:lang w:val="en-GB"/>
        </w:rPr>
        <w:t xml:space="preserve">data </w:t>
      </w:r>
      <w:r w:rsidR="00F66EB3" w:rsidRPr="00616640">
        <w:rPr>
          <w:lang w:val="en-GB"/>
        </w:rPr>
        <w:t xml:space="preserve">and its collection </w:t>
      </w:r>
      <w:r w:rsidR="008B21E2" w:rsidRPr="00616640">
        <w:rPr>
          <w:lang w:val="en-GB"/>
        </w:rPr>
        <w:t xml:space="preserve">is not </w:t>
      </w:r>
      <w:r w:rsidR="004F0FB4" w:rsidRPr="00616640">
        <w:rPr>
          <w:lang w:val="en-GB"/>
        </w:rPr>
        <w:t>detailed</w:t>
      </w:r>
      <w:r w:rsidR="008B21E2" w:rsidRPr="00616640">
        <w:rPr>
          <w:lang w:val="en-GB"/>
        </w:rPr>
        <w:t>.</w:t>
      </w:r>
      <w:r w:rsidR="00F66EB3" w:rsidRPr="00616640">
        <w:rPr>
          <w:lang w:val="en-GB"/>
        </w:rPr>
        <w:t xml:space="preserve"> </w:t>
      </w:r>
    </w:p>
    <w:p w14:paraId="22B04BAE" w14:textId="62D595E6" w:rsidR="00A16030" w:rsidRPr="00616640" w:rsidRDefault="007D4832" w:rsidP="00233B9C">
      <w:pPr>
        <w:jc w:val="both"/>
        <w:rPr>
          <w:rStyle w:val="jlqj4b"/>
          <w:lang w:val="en-GB"/>
        </w:rPr>
      </w:pPr>
      <w:r w:rsidRPr="00616640">
        <w:rPr>
          <w:rStyle w:val="jlqj4b"/>
          <w:lang w:val="en-GB"/>
        </w:rPr>
        <w:t xml:space="preserve">The V4 countries appreciate the positive role of </w:t>
      </w:r>
      <w:r w:rsidRPr="00616640">
        <w:rPr>
          <w:rStyle w:val="jlqj4b"/>
          <w:u w:val="single"/>
          <w:lang w:val="en-GB"/>
        </w:rPr>
        <w:t>Sustainable Urban Mobility Plans</w:t>
      </w:r>
      <w:r w:rsidRPr="00616640">
        <w:rPr>
          <w:rStyle w:val="jlqj4b"/>
          <w:lang w:val="en-GB"/>
        </w:rPr>
        <w:t xml:space="preserve"> (SUMP) in planning sustainable urban mobility.</w:t>
      </w:r>
      <w:r w:rsidRPr="00616640">
        <w:rPr>
          <w:rStyle w:val="viiyi"/>
          <w:lang w:val="en-GB"/>
        </w:rPr>
        <w:t xml:space="preserve"> </w:t>
      </w:r>
      <w:r w:rsidR="008C04B4" w:rsidRPr="00616640">
        <w:rPr>
          <w:rStyle w:val="jlqj4b"/>
          <w:lang w:val="en-GB"/>
        </w:rPr>
        <w:t xml:space="preserve"> However, </w:t>
      </w:r>
      <w:r w:rsidR="00233B9C" w:rsidRPr="00616640">
        <w:rPr>
          <w:rStyle w:val="jlqj4b"/>
          <w:lang w:val="en-GB"/>
        </w:rPr>
        <w:t>w</w:t>
      </w:r>
      <w:r w:rsidR="00F66EB3" w:rsidRPr="00616640">
        <w:rPr>
          <w:rStyle w:val="jlqj4b"/>
          <w:lang w:val="en-GB"/>
        </w:rPr>
        <w:t xml:space="preserve">e ask the European Commission to reconsider the deadline proposed for SUMP (2025). </w:t>
      </w:r>
    </w:p>
    <w:p w14:paraId="60540AA1" w14:textId="5A8BF05C" w:rsidR="007D4832" w:rsidRDefault="00A16030" w:rsidP="002A7AE3">
      <w:pPr>
        <w:jc w:val="both"/>
        <w:rPr>
          <w:rStyle w:val="jlqj4b"/>
          <w:lang w:val="en-GB"/>
        </w:rPr>
      </w:pPr>
      <w:r w:rsidRPr="00616640">
        <w:rPr>
          <w:rStyle w:val="jlqj4b"/>
          <w:u w:val="single"/>
          <w:lang w:val="en-GB"/>
        </w:rPr>
        <w:t>M</w:t>
      </w:r>
      <w:r w:rsidR="00F66EB3" w:rsidRPr="00616640">
        <w:rPr>
          <w:rStyle w:val="jlqj4b"/>
          <w:u w:val="single"/>
          <w:lang w:val="en-GB"/>
        </w:rPr>
        <w:t>ultimodal digital m</w:t>
      </w:r>
      <w:r w:rsidRPr="00616640">
        <w:rPr>
          <w:rStyle w:val="jlqj4b"/>
          <w:u w:val="single"/>
          <w:lang w:val="en-GB"/>
        </w:rPr>
        <w:t>obility</w:t>
      </w:r>
      <w:r w:rsidR="005E021E" w:rsidRPr="00616640">
        <w:rPr>
          <w:rStyle w:val="jlqj4b"/>
          <w:u w:val="single"/>
          <w:lang w:val="en-GB"/>
        </w:rPr>
        <w:t xml:space="preserve"> </w:t>
      </w:r>
      <w:r w:rsidRPr="00616640">
        <w:rPr>
          <w:rStyle w:val="jlqj4b"/>
          <w:u w:val="single"/>
          <w:lang w:val="en-GB"/>
        </w:rPr>
        <w:t>service</w:t>
      </w:r>
      <w:r w:rsidR="00F66EB3" w:rsidRPr="00616640">
        <w:rPr>
          <w:rStyle w:val="jlqj4b"/>
          <w:u w:val="single"/>
          <w:lang w:val="en-GB"/>
        </w:rPr>
        <w:t>s</w:t>
      </w:r>
      <w:r w:rsidRPr="00616640">
        <w:rPr>
          <w:rStyle w:val="jlqj4b"/>
          <w:lang w:val="en-GB"/>
        </w:rPr>
        <w:t xml:space="preserve"> </w:t>
      </w:r>
      <w:r w:rsidR="00F66EB3" w:rsidRPr="00616640">
        <w:rPr>
          <w:rStyle w:val="jlqj4b"/>
          <w:lang w:val="en-GB"/>
        </w:rPr>
        <w:t>are</w:t>
      </w:r>
      <w:r w:rsidRPr="00616640">
        <w:rPr>
          <w:rStyle w:val="jlqj4b"/>
          <w:lang w:val="en-GB"/>
        </w:rPr>
        <w:t xml:space="preserve"> the way forward</w:t>
      </w:r>
      <w:r w:rsidR="00EA4A6C" w:rsidRPr="00616640">
        <w:rPr>
          <w:rStyle w:val="jlqj4b"/>
          <w:lang w:val="en-GB"/>
        </w:rPr>
        <w:t>. T</w:t>
      </w:r>
      <w:r w:rsidRPr="00616640">
        <w:rPr>
          <w:rStyle w:val="jlqj4b"/>
          <w:lang w:val="en-GB"/>
        </w:rPr>
        <w:t xml:space="preserve">he V4 countries </w:t>
      </w:r>
      <w:r w:rsidR="00EA4A6C" w:rsidRPr="00616640">
        <w:rPr>
          <w:rStyle w:val="jlqj4b"/>
          <w:lang w:val="en-GB"/>
        </w:rPr>
        <w:t xml:space="preserve">see the modal split influencing potential towards greener alternatives given that a </w:t>
      </w:r>
      <w:r w:rsidRPr="00616640">
        <w:rPr>
          <w:rStyle w:val="jlqj4b"/>
          <w:lang w:val="en-GB"/>
        </w:rPr>
        <w:t xml:space="preserve">well-structured </w:t>
      </w:r>
      <w:r w:rsidR="00065B3A" w:rsidRPr="003B5941">
        <w:rPr>
          <w:rStyle w:val="jlqj4b"/>
          <w:lang w:val="en-US"/>
        </w:rPr>
        <w:t>guideline on technical specifications</w:t>
      </w:r>
      <w:r w:rsidR="006B7230" w:rsidRPr="003B5941">
        <w:rPr>
          <w:rStyle w:val="jlqj4b"/>
          <w:lang w:val="en-US"/>
        </w:rPr>
        <w:t xml:space="preserve"> </w:t>
      </w:r>
      <w:r w:rsidR="00EA4A6C" w:rsidRPr="003B5941">
        <w:rPr>
          <w:rStyle w:val="jlqj4b"/>
          <w:lang w:val="en-US"/>
        </w:rPr>
        <w:t>(</w:t>
      </w:r>
      <w:r w:rsidR="00410373" w:rsidRPr="00616640">
        <w:rPr>
          <w:rStyle w:val="jlqj4b"/>
          <w:lang w:val="en-GB"/>
        </w:rPr>
        <w:t>to less</w:t>
      </w:r>
      <w:r w:rsidRPr="00616640">
        <w:rPr>
          <w:rStyle w:val="jlqj4b"/>
          <w:lang w:val="en-GB"/>
        </w:rPr>
        <w:t xml:space="preserve"> </w:t>
      </w:r>
      <w:r w:rsidR="00410373" w:rsidRPr="00616640">
        <w:rPr>
          <w:rStyle w:val="jlqj4b"/>
          <w:lang w:val="en-GB"/>
        </w:rPr>
        <w:t>advanced players</w:t>
      </w:r>
      <w:r w:rsidR="00EA4A6C" w:rsidRPr="00616640">
        <w:rPr>
          <w:rStyle w:val="jlqj4b"/>
          <w:lang w:val="en-GB"/>
        </w:rPr>
        <w:t>)</w:t>
      </w:r>
      <w:r w:rsidR="00410373" w:rsidRPr="00616640">
        <w:rPr>
          <w:rStyle w:val="jlqj4b"/>
          <w:lang w:val="en-GB"/>
        </w:rPr>
        <w:t xml:space="preserve"> </w:t>
      </w:r>
      <w:r w:rsidR="00EA4A6C" w:rsidRPr="00616640">
        <w:rPr>
          <w:rStyle w:val="jlqj4b"/>
          <w:lang w:val="en-GB"/>
        </w:rPr>
        <w:t xml:space="preserve">as well as </w:t>
      </w:r>
      <w:r w:rsidR="00D44E17" w:rsidRPr="00616640">
        <w:rPr>
          <w:rStyle w:val="jlqj4b"/>
          <w:lang w:val="en-GB"/>
        </w:rPr>
        <w:t xml:space="preserve">the </w:t>
      </w:r>
      <w:r w:rsidR="00EA4A6C" w:rsidRPr="00616640">
        <w:rPr>
          <w:rStyle w:val="jlqj4b"/>
          <w:lang w:val="en-GB"/>
        </w:rPr>
        <w:t xml:space="preserve">necessary resources will be available to ensure that </w:t>
      </w:r>
      <w:r w:rsidR="00065B3A" w:rsidRPr="003B5941">
        <w:rPr>
          <w:rStyle w:val="jlqj4b"/>
          <w:lang w:val="en-US"/>
        </w:rPr>
        <w:t>standardi</w:t>
      </w:r>
      <w:r w:rsidR="003B5941">
        <w:rPr>
          <w:rStyle w:val="jlqj4b"/>
          <w:lang w:val="en-US"/>
        </w:rPr>
        <w:t>z</w:t>
      </w:r>
      <w:r w:rsidR="00065B3A" w:rsidRPr="003B5941">
        <w:rPr>
          <w:rStyle w:val="jlqj4b"/>
          <w:lang w:val="en-US"/>
        </w:rPr>
        <w:t>ed</w:t>
      </w:r>
      <w:r w:rsidR="00D44E17" w:rsidRPr="003B5941">
        <w:rPr>
          <w:rStyle w:val="jlqj4b"/>
          <w:lang w:val="en-US"/>
        </w:rPr>
        <w:t>, reliable</w:t>
      </w:r>
      <w:r w:rsidR="00065B3A" w:rsidRPr="003B5941">
        <w:rPr>
          <w:rStyle w:val="jlqj4b"/>
          <w:lang w:val="en-US"/>
        </w:rPr>
        <w:t xml:space="preserve"> solutions</w:t>
      </w:r>
      <w:r w:rsidR="006B7230" w:rsidRPr="003B5941">
        <w:rPr>
          <w:rStyle w:val="jlqj4b"/>
          <w:lang w:val="en-US"/>
        </w:rPr>
        <w:t xml:space="preserve"> </w:t>
      </w:r>
      <w:r w:rsidR="00D44E17" w:rsidRPr="003B5941">
        <w:rPr>
          <w:rStyle w:val="jlqj4b"/>
          <w:lang w:val="en-US"/>
        </w:rPr>
        <w:t>c</w:t>
      </w:r>
      <w:proofErr w:type="spellStart"/>
      <w:r w:rsidR="001D330D" w:rsidRPr="00616640">
        <w:rPr>
          <w:rStyle w:val="jlqj4b"/>
          <w:lang w:val="en-GB"/>
        </w:rPr>
        <w:t>ould</w:t>
      </w:r>
      <w:proofErr w:type="spellEnd"/>
      <w:r w:rsidR="006B7230" w:rsidRPr="00616640">
        <w:rPr>
          <w:rStyle w:val="jlqj4b"/>
          <w:lang w:val="en-GB"/>
        </w:rPr>
        <w:t xml:space="preserve"> </w:t>
      </w:r>
      <w:r w:rsidRPr="00616640">
        <w:rPr>
          <w:rStyle w:val="jlqj4b"/>
          <w:lang w:val="en-GB"/>
        </w:rPr>
        <w:t>be</w:t>
      </w:r>
      <w:r w:rsidR="00D44E17" w:rsidRPr="00616640">
        <w:rPr>
          <w:rStyle w:val="jlqj4b"/>
          <w:lang w:val="en-GB"/>
        </w:rPr>
        <w:t xml:space="preserve"> developed</w:t>
      </w:r>
      <w:r w:rsidRPr="00616640">
        <w:rPr>
          <w:rStyle w:val="jlqj4b"/>
          <w:lang w:val="en-GB"/>
        </w:rPr>
        <w:t>.</w:t>
      </w:r>
    </w:p>
    <w:p w14:paraId="1328BA14" w14:textId="67290915" w:rsidR="008F7864" w:rsidRPr="00616640" w:rsidRDefault="004B5F55" w:rsidP="008F7864">
      <w:pPr>
        <w:jc w:val="both"/>
        <w:rPr>
          <w:rStyle w:val="jlqj4b"/>
          <w:b/>
          <w:lang w:val="en-GB"/>
        </w:rPr>
      </w:pPr>
      <w:r w:rsidRPr="00616640">
        <w:rPr>
          <w:rStyle w:val="jlqj4b"/>
          <w:b/>
          <w:lang w:val="en-GB"/>
        </w:rPr>
        <w:t>Inland waterways</w:t>
      </w:r>
      <w:r w:rsidR="008F7864" w:rsidRPr="00616640">
        <w:rPr>
          <w:rStyle w:val="jlqj4b"/>
          <w:b/>
          <w:lang w:val="en-GB"/>
        </w:rPr>
        <w:t xml:space="preserve"> </w:t>
      </w:r>
    </w:p>
    <w:p w14:paraId="5835CBA3" w14:textId="77777777" w:rsidR="00560546" w:rsidRPr="00F716A6" w:rsidRDefault="00560546" w:rsidP="00560546">
      <w:pPr>
        <w:jc w:val="both"/>
        <w:rPr>
          <w:lang w:val="en-GB"/>
        </w:rPr>
      </w:pPr>
      <w:r w:rsidRPr="00F716A6">
        <w:rPr>
          <w:lang w:val="en-GB"/>
        </w:rPr>
        <w:t xml:space="preserve">The V4 countries support the general approach with regard to guidelines for waterway infrastructure proposed by the European Commission. We welcome the idea to take a more bottom-up approach by </w:t>
      </w:r>
      <w:r w:rsidRPr="00F716A6">
        <w:rPr>
          <w:lang w:val="en-GB"/>
        </w:rPr>
        <w:lastRenderedPageBreak/>
        <w:t xml:space="preserve">taking account of efficiency and availability of infrastructure but, at the same time, we believe that changes on the maps should go in the same direction. </w:t>
      </w:r>
    </w:p>
    <w:p w14:paraId="2A748BCB" w14:textId="00491E78" w:rsidR="001C1B64" w:rsidRPr="00616640" w:rsidRDefault="00560546" w:rsidP="001C1B64">
      <w:pPr>
        <w:jc w:val="both"/>
        <w:rPr>
          <w:rStyle w:val="jlqj4b"/>
          <w:lang w:val="en-GB"/>
        </w:rPr>
      </w:pPr>
      <w:r w:rsidRPr="00F716A6">
        <w:rPr>
          <w:lang w:val="en-GB"/>
        </w:rPr>
        <w:t>We propose that the review of the TEN-T Regulation take into account the possibility of extending the TEN-T co</w:t>
      </w:r>
      <w:r w:rsidR="004B7124">
        <w:rPr>
          <w:lang w:val="en-GB"/>
        </w:rPr>
        <w:t xml:space="preserve">re network in a way to create an </w:t>
      </w:r>
      <w:r w:rsidRPr="00F716A6">
        <w:rPr>
          <w:lang w:val="en-GB"/>
        </w:rPr>
        <w:t>effective, stable and environmentally friendly inland waterway network.</w:t>
      </w:r>
    </w:p>
    <w:p w14:paraId="5423A81D" w14:textId="1864B4BC" w:rsidR="001C1B64" w:rsidRPr="00616640" w:rsidRDefault="001C1B64" w:rsidP="001C1B64">
      <w:pPr>
        <w:jc w:val="both"/>
        <w:rPr>
          <w:lang w:val="en-GB"/>
        </w:rPr>
      </w:pPr>
      <w:r w:rsidRPr="00616640">
        <w:rPr>
          <w:lang w:val="en-US"/>
        </w:rPr>
        <w:t xml:space="preserve">It should be </w:t>
      </w:r>
      <w:r w:rsidRPr="00616640">
        <w:rPr>
          <w:lang w:val="en-GB"/>
        </w:rPr>
        <w:t xml:space="preserve">pointed out that navigable waterways connected to seaports, which do not have international class of navigability status, but have the potential to reduce negative environmental externalities, including road congestion, should be considered for the </w:t>
      </w:r>
      <w:r w:rsidR="00560546">
        <w:rPr>
          <w:lang w:val="en-GB"/>
        </w:rPr>
        <w:t>TEN-T</w:t>
      </w:r>
      <w:r w:rsidR="0009174E">
        <w:rPr>
          <w:lang w:val="en-GB"/>
        </w:rPr>
        <w:t xml:space="preserve"> </w:t>
      </w:r>
      <w:r w:rsidRPr="00616640">
        <w:rPr>
          <w:lang w:val="en-GB"/>
        </w:rPr>
        <w:t>network.</w:t>
      </w:r>
    </w:p>
    <w:p w14:paraId="56AE49BD" w14:textId="6A764D7E" w:rsidR="009F5D91" w:rsidRPr="00616640" w:rsidRDefault="009F5D91" w:rsidP="001C1B64">
      <w:pPr>
        <w:jc w:val="both"/>
        <w:rPr>
          <w:rStyle w:val="jlqj4b"/>
          <w:lang w:val="en-GB"/>
        </w:rPr>
      </w:pPr>
      <w:r w:rsidRPr="00616640">
        <w:rPr>
          <w:lang w:val="en-GB"/>
        </w:rPr>
        <w:t xml:space="preserve">The V4 countries stresses the need to extend the TEN-T network to cover new inland waterways </w:t>
      </w:r>
      <w:r w:rsidR="001C1B64" w:rsidRPr="00616640">
        <w:rPr>
          <w:lang w:val="en-GB"/>
        </w:rPr>
        <w:t>s</w:t>
      </w:r>
      <w:r w:rsidRPr="00616640">
        <w:rPr>
          <w:lang w:val="en-GB"/>
        </w:rPr>
        <w:t>ections in order to establish new multi-modal transport hubs.</w:t>
      </w:r>
    </w:p>
    <w:p w14:paraId="7F1CB8FB" w14:textId="77777777" w:rsidR="00912FC8" w:rsidRPr="00616640" w:rsidRDefault="00912FC8" w:rsidP="00912FC8">
      <w:pPr>
        <w:jc w:val="both"/>
        <w:rPr>
          <w:rStyle w:val="jlqj4b"/>
          <w:b/>
          <w:lang w:val="en-GB"/>
        </w:rPr>
      </w:pPr>
      <w:r w:rsidRPr="00616640">
        <w:rPr>
          <w:rStyle w:val="jlqj4b"/>
          <w:b/>
          <w:lang w:val="en-GB"/>
        </w:rPr>
        <w:t>Alternative fuels</w:t>
      </w:r>
    </w:p>
    <w:p w14:paraId="0BF17EFB" w14:textId="77777777" w:rsidR="00912FC8" w:rsidRPr="00616640" w:rsidRDefault="00912FC8" w:rsidP="00912FC8">
      <w:pPr>
        <w:jc w:val="both"/>
        <w:rPr>
          <w:rStyle w:val="jlqj4b"/>
          <w:lang w:val="en-GB"/>
        </w:rPr>
      </w:pPr>
      <w:r w:rsidRPr="00616640">
        <w:rPr>
          <w:rStyle w:val="jlqj4b"/>
          <w:lang w:val="en-GB"/>
        </w:rPr>
        <w:t>The V4 countries support the objectives of the European Green Deal and the Sustainable and Smart Mobility Strategy.</w:t>
      </w:r>
      <w:r w:rsidRPr="00616640">
        <w:rPr>
          <w:rStyle w:val="viiyi"/>
          <w:lang w:val="en-GB"/>
        </w:rPr>
        <w:t xml:space="preserve"> </w:t>
      </w:r>
      <w:r w:rsidRPr="00616640">
        <w:rPr>
          <w:rStyle w:val="jlqj4b"/>
          <w:lang w:val="en-GB"/>
        </w:rPr>
        <w:t>However, one should bear in mind a different starting position of individual Member States in transition towards low-emission mobility arising particularly from a different purchasing power of their inhabitants.</w:t>
      </w:r>
    </w:p>
    <w:p w14:paraId="4AA11828" w14:textId="77777777" w:rsidR="00912FC8" w:rsidRPr="00616640" w:rsidRDefault="00912FC8" w:rsidP="00912FC8">
      <w:pPr>
        <w:jc w:val="both"/>
        <w:rPr>
          <w:b/>
          <w:lang w:val="en-GB"/>
        </w:rPr>
      </w:pPr>
      <w:r w:rsidRPr="00616640">
        <w:rPr>
          <w:rStyle w:val="jlqj4b"/>
          <w:lang w:val="en-GB"/>
        </w:rPr>
        <w:t>The construction of a concrete number of charging/refuelling stations or on-shore power supply points with specific, high power output [kW] requires financial support from the EU, but at the same time must be financially sustainable in the long run.</w:t>
      </w:r>
      <w:r w:rsidRPr="00616640">
        <w:rPr>
          <w:rStyle w:val="viiyi"/>
          <w:lang w:val="en-GB"/>
        </w:rPr>
        <w:t xml:space="preserve"> In this context, we would like to note that the necessary investments go far beyond the transport sector, as appropriate adjustments have to be made also in the energy distribution grid. </w:t>
      </w:r>
      <w:r w:rsidRPr="00616640">
        <w:rPr>
          <w:rStyle w:val="jlqj4b"/>
          <w:lang w:val="en-GB"/>
        </w:rPr>
        <w:t>Therefore, the development of alternative fuels infrastructure should be linked to the development of the zero-emission vehicle (LDV and HDV) or vessel fleet.</w:t>
      </w:r>
      <w:r w:rsidRPr="00616640">
        <w:rPr>
          <w:rStyle w:val="viiyi"/>
          <w:lang w:val="en-GB"/>
        </w:rPr>
        <w:t xml:space="preserve"> </w:t>
      </w:r>
      <w:r w:rsidRPr="00616640">
        <w:rPr>
          <w:rStyle w:val="jlqj4b"/>
          <w:lang w:val="en-GB"/>
        </w:rPr>
        <w:t>In this regard, V4 countries support the setting of dynamic, but flexible targets regarding charging infrastructure in particular for heavy duty vehicles, keeping in mind that the object to be regulated is a rapidly developing, innovative technology and the aim is not to limit, but to guide the development to a certain direction.</w:t>
      </w:r>
    </w:p>
    <w:p w14:paraId="2F5E0328" w14:textId="23D51389" w:rsidR="006337BE" w:rsidRPr="004C6767" w:rsidRDefault="006337BE" w:rsidP="000A1149">
      <w:pPr>
        <w:jc w:val="both"/>
        <w:rPr>
          <w:b/>
          <w:lang w:val="en-US"/>
        </w:rPr>
      </w:pPr>
      <w:r w:rsidRPr="00616640">
        <w:rPr>
          <w:b/>
          <w:lang w:val="en-GB"/>
        </w:rPr>
        <w:t xml:space="preserve">Alignment of national </w:t>
      </w:r>
      <w:r w:rsidR="00DC6C6D" w:rsidRPr="00616640">
        <w:rPr>
          <w:b/>
          <w:lang w:val="en-GB"/>
        </w:rPr>
        <w:t xml:space="preserve">investment </w:t>
      </w:r>
      <w:r w:rsidRPr="00616640">
        <w:rPr>
          <w:b/>
          <w:lang w:val="en-GB"/>
        </w:rPr>
        <w:t>plans with Union transport policy</w:t>
      </w:r>
    </w:p>
    <w:p w14:paraId="73D3E40A" w14:textId="2EDC8400" w:rsidR="005675F0" w:rsidRPr="00616640" w:rsidRDefault="00465A67" w:rsidP="00C86F85">
      <w:pPr>
        <w:jc w:val="both"/>
        <w:rPr>
          <w:lang w:val="en-GB"/>
        </w:rPr>
      </w:pPr>
      <w:r w:rsidRPr="00616640">
        <w:rPr>
          <w:rStyle w:val="jlqj4b"/>
          <w:lang w:val="en-GB"/>
        </w:rPr>
        <w:t>The V4 countries note that th</w:t>
      </w:r>
      <w:r w:rsidR="00B852DC" w:rsidRPr="00616640">
        <w:rPr>
          <w:rStyle w:val="jlqj4b"/>
          <w:lang w:val="en-GB"/>
        </w:rPr>
        <w:t xml:space="preserve">e requirement </w:t>
      </w:r>
      <w:r w:rsidRPr="00616640">
        <w:rPr>
          <w:rStyle w:val="jlqj4b"/>
          <w:lang w:val="en-GB"/>
        </w:rPr>
        <w:t xml:space="preserve">to </w:t>
      </w:r>
      <w:r w:rsidR="006337BE" w:rsidRPr="00616640">
        <w:rPr>
          <w:rStyle w:val="jlqj4b"/>
          <w:lang w:val="en-GB"/>
        </w:rPr>
        <w:t>n</w:t>
      </w:r>
      <w:r w:rsidRPr="00616640">
        <w:rPr>
          <w:rStyle w:val="jlqj4b"/>
          <w:lang w:val="en-GB"/>
        </w:rPr>
        <w:t>o</w:t>
      </w:r>
      <w:r w:rsidR="006337BE" w:rsidRPr="00616640">
        <w:rPr>
          <w:rStyle w:val="jlqj4b"/>
          <w:lang w:val="en-GB"/>
        </w:rPr>
        <w:t>tify the Commission about</w:t>
      </w:r>
      <w:r w:rsidRPr="00616640">
        <w:rPr>
          <w:rStyle w:val="jlqj4b"/>
          <w:lang w:val="en-GB"/>
        </w:rPr>
        <w:t xml:space="preserve"> </w:t>
      </w:r>
      <w:r w:rsidRPr="00616640">
        <w:rPr>
          <w:rStyle w:val="jlqj4b"/>
          <w:u w:val="single"/>
          <w:lang w:val="en-GB"/>
        </w:rPr>
        <w:t xml:space="preserve">national </w:t>
      </w:r>
      <w:r w:rsidR="00DC6C6D" w:rsidRPr="00616640">
        <w:rPr>
          <w:rStyle w:val="jlqj4b"/>
          <w:u w:val="single"/>
          <w:lang w:val="en-GB"/>
        </w:rPr>
        <w:t xml:space="preserve">transport and investment </w:t>
      </w:r>
      <w:r w:rsidRPr="00616640">
        <w:rPr>
          <w:rStyle w:val="jlqj4b"/>
          <w:u w:val="single"/>
          <w:lang w:val="en-GB"/>
        </w:rPr>
        <w:t>plans</w:t>
      </w:r>
      <w:r w:rsidR="006337BE" w:rsidRPr="00616640">
        <w:rPr>
          <w:rStyle w:val="jlqj4b"/>
          <w:u w:val="single"/>
          <w:lang w:val="en-GB"/>
        </w:rPr>
        <w:t>, programmes or their amendments</w:t>
      </w:r>
      <w:r w:rsidRPr="00616640">
        <w:rPr>
          <w:rStyle w:val="jlqj4b"/>
          <w:lang w:val="en-GB"/>
        </w:rPr>
        <w:t xml:space="preserve"> in terms of the implementation of the TEN-T network </w:t>
      </w:r>
      <w:r w:rsidR="006337BE" w:rsidRPr="00616640">
        <w:rPr>
          <w:rStyle w:val="jlqj4b"/>
          <w:lang w:val="en-GB"/>
        </w:rPr>
        <w:t>at least twelve months before their adoption would</w:t>
      </w:r>
      <w:r w:rsidRPr="00616640">
        <w:rPr>
          <w:rStyle w:val="jlqj4b"/>
          <w:lang w:val="en-GB"/>
        </w:rPr>
        <w:t xml:space="preserve"> significantly extend the process of preparation and implementation of investments in M</w:t>
      </w:r>
      <w:r w:rsidR="00F3492A" w:rsidRPr="00616640">
        <w:rPr>
          <w:rStyle w:val="jlqj4b"/>
          <w:lang w:val="en-GB"/>
        </w:rPr>
        <w:t xml:space="preserve">ember </w:t>
      </w:r>
      <w:r w:rsidRPr="00616640">
        <w:rPr>
          <w:rStyle w:val="jlqj4b"/>
          <w:lang w:val="en-GB"/>
        </w:rPr>
        <w:t>S</w:t>
      </w:r>
      <w:r w:rsidR="00F3492A" w:rsidRPr="00616640">
        <w:rPr>
          <w:rStyle w:val="jlqj4b"/>
          <w:lang w:val="en-GB"/>
        </w:rPr>
        <w:t>tates</w:t>
      </w:r>
      <w:r w:rsidR="00233B9C" w:rsidRPr="00616640">
        <w:rPr>
          <w:rStyle w:val="jlqj4b"/>
          <w:lang w:val="en-GB"/>
        </w:rPr>
        <w:t>.</w:t>
      </w:r>
    </w:p>
    <w:p w14:paraId="21C358EB" w14:textId="70F95E37" w:rsidR="001C1B64" w:rsidRPr="00A85406" w:rsidRDefault="00233B9C" w:rsidP="004A1FE2">
      <w:pPr>
        <w:jc w:val="both"/>
        <w:rPr>
          <w:lang w:val="en-GB"/>
        </w:rPr>
      </w:pPr>
      <w:r w:rsidRPr="004C6767">
        <w:rPr>
          <w:lang w:val="en-US"/>
        </w:rPr>
        <w:t xml:space="preserve">Therefore, </w:t>
      </w:r>
      <w:r w:rsidRPr="00616640">
        <w:rPr>
          <w:lang w:val="en-GB"/>
        </w:rPr>
        <w:t xml:space="preserve">we prefer to continue in the current way of reporting on investment and project preparation. </w:t>
      </w:r>
      <w:r w:rsidR="009030E1" w:rsidRPr="00616640">
        <w:rPr>
          <w:lang w:val="en-GB"/>
        </w:rPr>
        <w:t>Furthermore</w:t>
      </w:r>
      <w:r w:rsidRPr="00616640">
        <w:rPr>
          <w:lang w:val="en-GB"/>
        </w:rPr>
        <w:t>,</w:t>
      </w:r>
      <w:r w:rsidR="009030E1" w:rsidRPr="00616640">
        <w:rPr>
          <w:lang w:val="en-GB"/>
        </w:rPr>
        <w:t xml:space="preserve"> we believe that </w:t>
      </w:r>
      <w:r w:rsidR="004064F6" w:rsidRPr="00616640">
        <w:rPr>
          <w:lang w:val="en-GB"/>
        </w:rPr>
        <w:t xml:space="preserve">in case of </w:t>
      </w:r>
      <w:r w:rsidR="004064F6" w:rsidRPr="004C6767">
        <w:rPr>
          <w:u w:val="single"/>
          <w:lang w:val="en-US"/>
        </w:rPr>
        <w:t>cross-border infrastructure projects</w:t>
      </w:r>
      <w:r w:rsidR="004064F6" w:rsidRPr="004C6767">
        <w:rPr>
          <w:lang w:val="en-US"/>
        </w:rPr>
        <w:t xml:space="preserve"> the involved </w:t>
      </w:r>
      <w:r w:rsidR="00CC6943" w:rsidRPr="004C6767">
        <w:rPr>
          <w:lang w:val="en-US"/>
        </w:rPr>
        <w:t>M</w:t>
      </w:r>
      <w:r w:rsidR="004064F6" w:rsidRPr="004C6767">
        <w:rPr>
          <w:lang w:val="en-US"/>
        </w:rPr>
        <w:t xml:space="preserve">ember </w:t>
      </w:r>
      <w:r w:rsidR="00CC6943" w:rsidRPr="004C6767">
        <w:rPr>
          <w:lang w:val="en-US"/>
        </w:rPr>
        <w:t>S</w:t>
      </w:r>
      <w:r w:rsidR="004064F6" w:rsidRPr="004C6767">
        <w:rPr>
          <w:lang w:val="en-US"/>
        </w:rPr>
        <w:t xml:space="preserve">tates shall decide on the appropriate project management form, setting up a </w:t>
      </w:r>
      <w:r w:rsidR="004064F6" w:rsidRPr="004C6767">
        <w:rPr>
          <w:u w:val="single"/>
          <w:lang w:val="en-US"/>
        </w:rPr>
        <w:t>single entity</w:t>
      </w:r>
      <w:r w:rsidR="004064F6" w:rsidRPr="004C6767">
        <w:rPr>
          <w:lang w:val="en-US"/>
        </w:rPr>
        <w:t xml:space="preserve"> for it should not be forced by law.</w:t>
      </w:r>
    </w:p>
    <w:sectPr w:rsidR="001C1B64" w:rsidRPr="00A85406" w:rsidSect="002E0EA7">
      <w:headerReference w:type="default" r:id="rId9"/>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863B4" w14:textId="77777777" w:rsidR="00811FD7" w:rsidRDefault="00811FD7" w:rsidP="00B64641">
      <w:pPr>
        <w:spacing w:after="0" w:line="240" w:lineRule="auto"/>
      </w:pPr>
      <w:r>
        <w:separator/>
      </w:r>
    </w:p>
  </w:endnote>
  <w:endnote w:type="continuationSeparator" w:id="0">
    <w:p w14:paraId="71FF3BD8" w14:textId="77777777" w:rsidR="00811FD7" w:rsidRDefault="00811FD7" w:rsidP="00B64641">
      <w:pPr>
        <w:spacing w:after="0" w:line="240" w:lineRule="auto"/>
      </w:pPr>
      <w:r>
        <w:continuationSeparator/>
      </w:r>
    </w:p>
  </w:endnote>
  <w:endnote w:type="continuationNotice" w:id="1">
    <w:p w14:paraId="27963EC1" w14:textId="77777777" w:rsidR="00811FD7" w:rsidRDefault="00811F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122860"/>
      <w:docPartObj>
        <w:docPartGallery w:val="Page Numbers (Bottom of Page)"/>
        <w:docPartUnique/>
      </w:docPartObj>
    </w:sdtPr>
    <w:sdtEndPr/>
    <w:sdtContent>
      <w:p w14:paraId="450CAF6F" w14:textId="5004754F" w:rsidR="00441C09" w:rsidRDefault="00A86F8D" w:rsidP="00A86F8D">
        <w:pPr>
          <w:pStyle w:val="Footer"/>
          <w:jc w:val="center"/>
        </w:pPr>
        <w:r>
          <w:fldChar w:fldCharType="begin"/>
        </w:r>
        <w:r>
          <w:instrText>PAGE   \* MERGEFORMAT</w:instrText>
        </w:r>
        <w:r>
          <w:fldChar w:fldCharType="separate"/>
        </w:r>
        <w:r w:rsidR="008C2E4B" w:rsidRPr="008C2E4B">
          <w:rPr>
            <w:noProof/>
            <w:lang w:val="hu-HU"/>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A8D34" w14:textId="77777777" w:rsidR="00811FD7" w:rsidRDefault="00811FD7" w:rsidP="00B64641">
      <w:pPr>
        <w:spacing w:after="0" w:line="240" w:lineRule="auto"/>
      </w:pPr>
      <w:r>
        <w:separator/>
      </w:r>
    </w:p>
  </w:footnote>
  <w:footnote w:type="continuationSeparator" w:id="0">
    <w:p w14:paraId="1AD94B15" w14:textId="77777777" w:rsidR="00811FD7" w:rsidRDefault="00811FD7" w:rsidP="00B64641">
      <w:pPr>
        <w:spacing w:after="0" w:line="240" w:lineRule="auto"/>
      </w:pPr>
      <w:r>
        <w:continuationSeparator/>
      </w:r>
    </w:p>
  </w:footnote>
  <w:footnote w:type="continuationNotice" w:id="1">
    <w:p w14:paraId="43FA47D4" w14:textId="77777777" w:rsidR="00811FD7" w:rsidRDefault="00811F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84727" w14:textId="77777777" w:rsidR="00B47EDC" w:rsidRDefault="00B47E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4359"/>
    <w:multiLevelType w:val="hybridMultilevel"/>
    <w:tmpl w:val="D77E90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CC2595"/>
    <w:multiLevelType w:val="hybridMultilevel"/>
    <w:tmpl w:val="2098C5DE"/>
    <w:lvl w:ilvl="0" w:tplc="DC6A4D40">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ABE6AA7"/>
    <w:multiLevelType w:val="hybridMultilevel"/>
    <w:tmpl w:val="D41488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DC924EE"/>
    <w:multiLevelType w:val="hybridMultilevel"/>
    <w:tmpl w:val="EC4007C8"/>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138"/>
    <w:rsid w:val="00003308"/>
    <w:rsid w:val="0000402D"/>
    <w:rsid w:val="00015531"/>
    <w:rsid w:val="000271F8"/>
    <w:rsid w:val="000332DE"/>
    <w:rsid w:val="000371CE"/>
    <w:rsid w:val="00043A04"/>
    <w:rsid w:val="0005364F"/>
    <w:rsid w:val="00054017"/>
    <w:rsid w:val="00065B3A"/>
    <w:rsid w:val="0007089E"/>
    <w:rsid w:val="00085C12"/>
    <w:rsid w:val="0009174E"/>
    <w:rsid w:val="000A1149"/>
    <w:rsid w:val="000A449E"/>
    <w:rsid w:val="000A72E4"/>
    <w:rsid w:val="000B1A56"/>
    <w:rsid w:val="000B52C9"/>
    <w:rsid w:val="000B5CCC"/>
    <w:rsid w:val="000D19ED"/>
    <w:rsid w:val="000D24EC"/>
    <w:rsid w:val="000D3430"/>
    <w:rsid w:val="000E1923"/>
    <w:rsid w:val="000E65B1"/>
    <w:rsid w:val="000F0469"/>
    <w:rsid w:val="000F50B8"/>
    <w:rsid w:val="000F6620"/>
    <w:rsid w:val="000F76F3"/>
    <w:rsid w:val="0010403E"/>
    <w:rsid w:val="00113B72"/>
    <w:rsid w:val="001201E0"/>
    <w:rsid w:val="00121C8C"/>
    <w:rsid w:val="0013010F"/>
    <w:rsid w:val="00133261"/>
    <w:rsid w:val="00137567"/>
    <w:rsid w:val="00144187"/>
    <w:rsid w:val="0015228B"/>
    <w:rsid w:val="001767EA"/>
    <w:rsid w:val="001827F4"/>
    <w:rsid w:val="0018655E"/>
    <w:rsid w:val="00187F40"/>
    <w:rsid w:val="00193F33"/>
    <w:rsid w:val="00196B39"/>
    <w:rsid w:val="001A0E76"/>
    <w:rsid w:val="001A782B"/>
    <w:rsid w:val="001B3D8F"/>
    <w:rsid w:val="001C1B64"/>
    <w:rsid w:val="001C23D7"/>
    <w:rsid w:val="001C52CB"/>
    <w:rsid w:val="001D1E44"/>
    <w:rsid w:val="001D330D"/>
    <w:rsid w:val="001D5A75"/>
    <w:rsid w:val="001E02E7"/>
    <w:rsid w:val="001F0F2A"/>
    <w:rsid w:val="001F1C1F"/>
    <w:rsid w:val="001F1F1B"/>
    <w:rsid w:val="00202294"/>
    <w:rsid w:val="002032C7"/>
    <w:rsid w:val="00206EF6"/>
    <w:rsid w:val="00207521"/>
    <w:rsid w:val="00212649"/>
    <w:rsid w:val="0022059D"/>
    <w:rsid w:val="00220C4E"/>
    <w:rsid w:val="00226F0C"/>
    <w:rsid w:val="00230A1F"/>
    <w:rsid w:val="0023379E"/>
    <w:rsid w:val="00233B9C"/>
    <w:rsid w:val="00236EEA"/>
    <w:rsid w:val="0023704E"/>
    <w:rsid w:val="0024314F"/>
    <w:rsid w:val="00251FD9"/>
    <w:rsid w:val="002536AA"/>
    <w:rsid w:val="00253CF5"/>
    <w:rsid w:val="00255D2C"/>
    <w:rsid w:val="00264211"/>
    <w:rsid w:val="00264C49"/>
    <w:rsid w:val="00271745"/>
    <w:rsid w:val="002778EA"/>
    <w:rsid w:val="002811F4"/>
    <w:rsid w:val="0028295A"/>
    <w:rsid w:val="00285D5C"/>
    <w:rsid w:val="00291357"/>
    <w:rsid w:val="00295577"/>
    <w:rsid w:val="00296336"/>
    <w:rsid w:val="002971D5"/>
    <w:rsid w:val="002972A0"/>
    <w:rsid w:val="00297EE8"/>
    <w:rsid w:val="002A1BEB"/>
    <w:rsid w:val="002A53BC"/>
    <w:rsid w:val="002A64FB"/>
    <w:rsid w:val="002A7AE3"/>
    <w:rsid w:val="002B123C"/>
    <w:rsid w:val="002D52A1"/>
    <w:rsid w:val="002E0EA7"/>
    <w:rsid w:val="002E6D1C"/>
    <w:rsid w:val="002E7ACE"/>
    <w:rsid w:val="002F3B2E"/>
    <w:rsid w:val="002F4F3D"/>
    <w:rsid w:val="002F695E"/>
    <w:rsid w:val="00300811"/>
    <w:rsid w:val="0031182E"/>
    <w:rsid w:val="00317FF5"/>
    <w:rsid w:val="00325160"/>
    <w:rsid w:val="00327C97"/>
    <w:rsid w:val="00341591"/>
    <w:rsid w:val="0034471A"/>
    <w:rsid w:val="003468B1"/>
    <w:rsid w:val="003548DA"/>
    <w:rsid w:val="00360B9D"/>
    <w:rsid w:val="00362208"/>
    <w:rsid w:val="00364971"/>
    <w:rsid w:val="00366738"/>
    <w:rsid w:val="00371606"/>
    <w:rsid w:val="00374A2B"/>
    <w:rsid w:val="003801BF"/>
    <w:rsid w:val="00380F2E"/>
    <w:rsid w:val="00385B0B"/>
    <w:rsid w:val="00392E49"/>
    <w:rsid w:val="003936CE"/>
    <w:rsid w:val="00395380"/>
    <w:rsid w:val="003A3C6E"/>
    <w:rsid w:val="003A59D4"/>
    <w:rsid w:val="003A67B4"/>
    <w:rsid w:val="003B28E2"/>
    <w:rsid w:val="003B5941"/>
    <w:rsid w:val="003B6A7F"/>
    <w:rsid w:val="003B78DD"/>
    <w:rsid w:val="003C2340"/>
    <w:rsid w:val="003C4F78"/>
    <w:rsid w:val="003D14B3"/>
    <w:rsid w:val="003D2A35"/>
    <w:rsid w:val="003D372F"/>
    <w:rsid w:val="003F2DEE"/>
    <w:rsid w:val="004064F6"/>
    <w:rsid w:val="00410373"/>
    <w:rsid w:val="0041037B"/>
    <w:rsid w:val="00410E57"/>
    <w:rsid w:val="00422481"/>
    <w:rsid w:val="00424E8E"/>
    <w:rsid w:val="00432C11"/>
    <w:rsid w:val="00433989"/>
    <w:rsid w:val="00441C09"/>
    <w:rsid w:val="00444680"/>
    <w:rsid w:val="00447E58"/>
    <w:rsid w:val="00454FBF"/>
    <w:rsid w:val="00463A89"/>
    <w:rsid w:val="00463E8E"/>
    <w:rsid w:val="00465A67"/>
    <w:rsid w:val="004742C2"/>
    <w:rsid w:val="00475616"/>
    <w:rsid w:val="00477B1B"/>
    <w:rsid w:val="0048397D"/>
    <w:rsid w:val="0048709B"/>
    <w:rsid w:val="00490562"/>
    <w:rsid w:val="00493F36"/>
    <w:rsid w:val="00494D50"/>
    <w:rsid w:val="00495747"/>
    <w:rsid w:val="004A0A2E"/>
    <w:rsid w:val="004A1FE2"/>
    <w:rsid w:val="004A5F53"/>
    <w:rsid w:val="004A6926"/>
    <w:rsid w:val="004B01DA"/>
    <w:rsid w:val="004B131E"/>
    <w:rsid w:val="004B1641"/>
    <w:rsid w:val="004B4394"/>
    <w:rsid w:val="004B5F55"/>
    <w:rsid w:val="004B6833"/>
    <w:rsid w:val="004B7124"/>
    <w:rsid w:val="004B77FA"/>
    <w:rsid w:val="004C6767"/>
    <w:rsid w:val="004C79BB"/>
    <w:rsid w:val="004D11C3"/>
    <w:rsid w:val="004D2903"/>
    <w:rsid w:val="004D4F46"/>
    <w:rsid w:val="004D77D7"/>
    <w:rsid w:val="004E064C"/>
    <w:rsid w:val="004E4B69"/>
    <w:rsid w:val="004E6C30"/>
    <w:rsid w:val="004E6FC3"/>
    <w:rsid w:val="004F0291"/>
    <w:rsid w:val="004F0FB4"/>
    <w:rsid w:val="004F2B46"/>
    <w:rsid w:val="00503815"/>
    <w:rsid w:val="00505A0F"/>
    <w:rsid w:val="005164EB"/>
    <w:rsid w:val="00516C5F"/>
    <w:rsid w:val="00527007"/>
    <w:rsid w:val="0053045E"/>
    <w:rsid w:val="00541147"/>
    <w:rsid w:val="005452B8"/>
    <w:rsid w:val="00552529"/>
    <w:rsid w:val="00560546"/>
    <w:rsid w:val="0056315D"/>
    <w:rsid w:val="00567570"/>
    <w:rsid w:val="005675F0"/>
    <w:rsid w:val="00574059"/>
    <w:rsid w:val="00575EF5"/>
    <w:rsid w:val="00580920"/>
    <w:rsid w:val="00581468"/>
    <w:rsid w:val="0058211B"/>
    <w:rsid w:val="00582D40"/>
    <w:rsid w:val="00582F80"/>
    <w:rsid w:val="0058653A"/>
    <w:rsid w:val="00590E18"/>
    <w:rsid w:val="005A0138"/>
    <w:rsid w:val="005A4270"/>
    <w:rsid w:val="005A4F96"/>
    <w:rsid w:val="005A5819"/>
    <w:rsid w:val="005B522F"/>
    <w:rsid w:val="005B6F94"/>
    <w:rsid w:val="005C1887"/>
    <w:rsid w:val="005C32B5"/>
    <w:rsid w:val="005D4B5A"/>
    <w:rsid w:val="005D791C"/>
    <w:rsid w:val="005E021E"/>
    <w:rsid w:val="005F3C58"/>
    <w:rsid w:val="005F5D6E"/>
    <w:rsid w:val="005F602C"/>
    <w:rsid w:val="00604D94"/>
    <w:rsid w:val="006068C9"/>
    <w:rsid w:val="00607C05"/>
    <w:rsid w:val="0061118E"/>
    <w:rsid w:val="006134A4"/>
    <w:rsid w:val="00613CBB"/>
    <w:rsid w:val="00615CA8"/>
    <w:rsid w:val="00616640"/>
    <w:rsid w:val="00616D73"/>
    <w:rsid w:val="00622266"/>
    <w:rsid w:val="0062629C"/>
    <w:rsid w:val="00630417"/>
    <w:rsid w:val="00631546"/>
    <w:rsid w:val="006337BE"/>
    <w:rsid w:val="00637D80"/>
    <w:rsid w:val="0064409C"/>
    <w:rsid w:val="00645322"/>
    <w:rsid w:val="00646EE9"/>
    <w:rsid w:val="0066141D"/>
    <w:rsid w:val="0066542B"/>
    <w:rsid w:val="00673453"/>
    <w:rsid w:val="00681ED1"/>
    <w:rsid w:val="0068717F"/>
    <w:rsid w:val="00691613"/>
    <w:rsid w:val="00696BB7"/>
    <w:rsid w:val="006A0A91"/>
    <w:rsid w:val="006A3D15"/>
    <w:rsid w:val="006B1615"/>
    <w:rsid w:val="006B23E2"/>
    <w:rsid w:val="006B42C9"/>
    <w:rsid w:val="006B7230"/>
    <w:rsid w:val="006D433D"/>
    <w:rsid w:val="006D5B38"/>
    <w:rsid w:val="006F4E8A"/>
    <w:rsid w:val="007010E7"/>
    <w:rsid w:val="00706905"/>
    <w:rsid w:val="007073EC"/>
    <w:rsid w:val="00712308"/>
    <w:rsid w:val="0071549E"/>
    <w:rsid w:val="007156A8"/>
    <w:rsid w:val="00716038"/>
    <w:rsid w:val="00720D5D"/>
    <w:rsid w:val="00723DCC"/>
    <w:rsid w:val="00727D7F"/>
    <w:rsid w:val="00731734"/>
    <w:rsid w:val="00733E74"/>
    <w:rsid w:val="00735859"/>
    <w:rsid w:val="00744A9C"/>
    <w:rsid w:val="00750B50"/>
    <w:rsid w:val="0076060A"/>
    <w:rsid w:val="007829AE"/>
    <w:rsid w:val="00787DEC"/>
    <w:rsid w:val="00795593"/>
    <w:rsid w:val="007A01C2"/>
    <w:rsid w:val="007A58D3"/>
    <w:rsid w:val="007A628A"/>
    <w:rsid w:val="007B030D"/>
    <w:rsid w:val="007B17E9"/>
    <w:rsid w:val="007B4355"/>
    <w:rsid w:val="007B7AE3"/>
    <w:rsid w:val="007C3801"/>
    <w:rsid w:val="007C3B11"/>
    <w:rsid w:val="007D4832"/>
    <w:rsid w:val="007D4EE8"/>
    <w:rsid w:val="007E4499"/>
    <w:rsid w:val="007F2DB8"/>
    <w:rsid w:val="007F4D9B"/>
    <w:rsid w:val="0080342C"/>
    <w:rsid w:val="00803AED"/>
    <w:rsid w:val="00811FD7"/>
    <w:rsid w:val="00813A2F"/>
    <w:rsid w:val="00821D64"/>
    <w:rsid w:val="00822A08"/>
    <w:rsid w:val="008266B0"/>
    <w:rsid w:val="00826AD1"/>
    <w:rsid w:val="00827E3D"/>
    <w:rsid w:val="008329E9"/>
    <w:rsid w:val="008377C9"/>
    <w:rsid w:val="0083796A"/>
    <w:rsid w:val="00850FE6"/>
    <w:rsid w:val="00851429"/>
    <w:rsid w:val="00860D94"/>
    <w:rsid w:val="00863033"/>
    <w:rsid w:val="0087461C"/>
    <w:rsid w:val="00875F12"/>
    <w:rsid w:val="00877FA4"/>
    <w:rsid w:val="00881B60"/>
    <w:rsid w:val="0088269B"/>
    <w:rsid w:val="00883430"/>
    <w:rsid w:val="008852E1"/>
    <w:rsid w:val="00886ACD"/>
    <w:rsid w:val="00890FFD"/>
    <w:rsid w:val="00895F25"/>
    <w:rsid w:val="008A174A"/>
    <w:rsid w:val="008A2124"/>
    <w:rsid w:val="008B21E2"/>
    <w:rsid w:val="008B2460"/>
    <w:rsid w:val="008B53A1"/>
    <w:rsid w:val="008C04B4"/>
    <w:rsid w:val="008C14BF"/>
    <w:rsid w:val="008C2E4B"/>
    <w:rsid w:val="008C3729"/>
    <w:rsid w:val="008C59D4"/>
    <w:rsid w:val="008E6E37"/>
    <w:rsid w:val="008F7864"/>
    <w:rsid w:val="008F7F13"/>
    <w:rsid w:val="00900283"/>
    <w:rsid w:val="009030E1"/>
    <w:rsid w:val="00904E5F"/>
    <w:rsid w:val="00906702"/>
    <w:rsid w:val="00906A67"/>
    <w:rsid w:val="0091216D"/>
    <w:rsid w:val="00912FC8"/>
    <w:rsid w:val="00915BF9"/>
    <w:rsid w:val="0091764E"/>
    <w:rsid w:val="00931B2D"/>
    <w:rsid w:val="009410DC"/>
    <w:rsid w:val="009504BA"/>
    <w:rsid w:val="009566EF"/>
    <w:rsid w:val="00961A47"/>
    <w:rsid w:val="00961C7D"/>
    <w:rsid w:val="00962E3B"/>
    <w:rsid w:val="0098050A"/>
    <w:rsid w:val="009809AC"/>
    <w:rsid w:val="009960F0"/>
    <w:rsid w:val="009A50F5"/>
    <w:rsid w:val="009B498D"/>
    <w:rsid w:val="009B4ABF"/>
    <w:rsid w:val="009B5BF9"/>
    <w:rsid w:val="009B68B1"/>
    <w:rsid w:val="009C26B1"/>
    <w:rsid w:val="009C4586"/>
    <w:rsid w:val="009C57BB"/>
    <w:rsid w:val="009C5B18"/>
    <w:rsid w:val="009D29F1"/>
    <w:rsid w:val="009E01D3"/>
    <w:rsid w:val="009F3BE4"/>
    <w:rsid w:val="009F5D91"/>
    <w:rsid w:val="00A024DB"/>
    <w:rsid w:val="00A0307F"/>
    <w:rsid w:val="00A16030"/>
    <w:rsid w:val="00A16B19"/>
    <w:rsid w:val="00A27CA2"/>
    <w:rsid w:val="00A41DB7"/>
    <w:rsid w:val="00A44CAD"/>
    <w:rsid w:val="00A45EFA"/>
    <w:rsid w:val="00A46F58"/>
    <w:rsid w:val="00A5396D"/>
    <w:rsid w:val="00A53DEC"/>
    <w:rsid w:val="00A54036"/>
    <w:rsid w:val="00A54157"/>
    <w:rsid w:val="00A55942"/>
    <w:rsid w:val="00A56074"/>
    <w:rsid w:val="00A62ED5"/>
    <w:rsid w:val="00A70776"/>
    <w:rsid w:val="00A718BB"/>
    <w:rsid w:val="00A71FA6"/>
    <w:rsid w:val="00A77121"/>
    <w:rsid w:val="00A82881"/>
    <w:rsid w:val="00A837EF"/>
    <w:rsid w:val="00A85406"/>
    <w:rsid w:val="00A86F8D"/>
    <w:rsid w:val="00A909BC"/>
    <w:rsid w:val="00A93B5D"/>
    <w:rsid w:val="00AB226E"/>
    <w:rsid w:val="00AC5283"/>
    <w:rsid w:val="00AC6EDB"/>
    <w:rsid w:val="00AE1CDF"/>
    <w:rsid w:val="00AE2E62"/>
    <w:rsid w:val="00AE7F7C"/>
    <w:rsid w:val="00AF3858"/>
    <w:rsid w:val="00AF4EF3"/>
    <w:rsid w:val="00AF67DC"/>
    <w:rsid w:val="00AF6DD4"/>
    <w:rsid w:val="00B027F4"/>
    <w:rsid w:val="00B215B9"/>
    <w:rsid w:val="00B226D0"/>
    <w:rsid w:val="00B229B4"/>
    <w:rsid w:val="00B24B11"/>
    <w:rsid w:val="00B35F63"/>
    <w:rsid w:val="00B37508"/>
    <w:rsid w:val="00B47EDC"/>
    <w:rsid w:val="00B504C7"/>
    <w:rsid w:val="00B51206"/>
    <w:rsid w:val="00B545AE"/>
    <w:rsid w:val="00B57137"/>
    <w:rsid w:val="00B60309"/>
    <w:rsid w:val="00B61D9D"/>
    <w:rsid w:val="00B6234E"/>
    <w:rsid w:val="00B64641"/>
    <w:rsid w:val="00B80026"/>
    <w:rsid w:val="00B84E62"/>
    <w:rsid w:val="00B852DC"/>
    <w:rsid w:val="00BA6154"/>
    <w:rsid w:val="00BE5147"/>
    <w:rsid w:val="00BE5AD5"/>
    <w:rsid w:val="00BE63F8"/>
    <w:rsid w:val="00BF438C"/>
    <w:rsid w:val="00C0377A"/>
    <w:rsid w:val="00C16DCD"/>
    <w:rsid w:val="00C230B7"/>
    <w:rsid w:val="00C23F79"/>
    <w:rsid w:val="00C32133"/>
    <w:rsid w:val="00C33C26"/>
    <w:rsid w:val="00C4012C"/>
    <w:rsid w:val="00C40A08"/>
    <w:rsid w:val="00C42EC2"/>
    <w:rsid w:val="00C45762"/>
    <w:rsid w:val="00C53A83"/>
    <w:rsid w:val="00C53BF8"/>
    <w:rsid w:val="00C67977"/>
    <w:rsid w:val="00C74E68"/>
    <w:rsid w:val="00C77E5D"/>
    <w:rsid w:val="00C86F85"/>
    <w:rsid w:val="00C87ED1"/>
    <w:rsid w:val="00C95CA3"/>
    <w:rsid w:val="00C95FEE"/>
    <w:rsid w:val="00CA6951"/>
    <w:rsid w:val="00CB4873"/>
    <w:rsid w:val="00CB5F6C"/>
    <w:rsid w:val="00CB728E"/>
    <w:rsid w:val="00CC2D74"/>
    <w:rsid w:val="00CC6943"/>
    <w:rsid w:val="00CC6C5A"/>
    <w:rsid w:val="00CC6E78"/>
    <w:rsid w:val="00CC7D64"/>
    <w:rsid w:val="00CE6F92"/>
    <w:rsid w:val="00D04AA6"/>
    <w:rsid w:val="00D10CF2"/>
    <w:rsid w:val="00D17C0E"/>
    <w:rsid w:val="00D20EA2"/>
    <w:rsid w:val="00D23C1D"/>
    <w:rsid w:val="00D26FCB"/>
    <w:rsid w:val="00D320B1"/>
    <w:rsid w:val="00D44E17"/>
    <w:rsid w:val="00D46304"/>
    <w:rsid w:val="00D501DC"/>
    <w:rsid w:val="00D54218"/>
    <w:rsid w:val="00D578EB"/>
    <w:rsid w:val="00D63C3D"/>
    <w:rsid w:val="00D640F6"/>
    <w:rsid w:val="00D649B7"/>
    <w:rsid w:val="00D65AEC"/>
    <w:rsid w:val="00D701F8"/>
    <w:rsid w:val="00D756E8"/>
    <w:rsid w:val="00D819AE"/>
    <w:rsid w:val="00D826FC"/>
    <w:rsid w:val="00D856B6"/>
    <w:rsid w:val="00D907CE"/>
    <w:rsid w:val="00DB4279"/>
    <w:rsid w:val="00DC6C6D"/>
    <w:rsid w:val="00DD135E"/>
    <w:rsid w:val="00DD4C7D"/>
    <w:rsid w:val="00DD5747"/>
    <w:rsid w:val="00DE0515"/>
    <w:rsid w:val="00DE132D"/>
    <w:rsid w:val="00DE4BF2"/>
    <w:rsid w:val="00E03E49"/>
    <w:rsid w:val="00E101FB"/>
    <w:rsid w:val="00E10DF9"/>
    <w:rsid w:val="00E163B5"/>
    <w:rsid w:val="00E23915"/>
    <w:rsid w:val="00E2524A"/>
    <w:rsid w:val="00E2538B"/>
    <w:rsid w:val="00E26EB4"/>
    <w:rsid w:val="00E32FEA"/>
    <w:rsid w:val="00E34CE5"/>
    <w:rsid w:val="00E3504B"/>
    <w:rsid w:val="00E4268F"/>
    <w:rsid w:val="00E52673"/>
    <w:rsid w:val="00E5293B"/>
    <w:rsid w:val="00E603CE"/>
    <w:rsid w:val="00E61296"/>
    <w:rsid w:val="00E71B6C"/>
    <w:rsid w:val="00E71E95"/>
    <w:rsid w:val="00E741EC"/>
    <w:rsid w:val="00E80B5F"/>
    <w:rsid w:val="00E852F4"/>
    <w:rsid w:val="00E854BF"/>
    <w:rsid w:val="00E869DE"/>
    <w:rsid w:val="00E977E6"/>
    <w:rsid w:val="00EA4A6C"/>
    <w:rsid w:val="00ED1407"/>
    <w:rsid w:val="00ED5BB4"/>
    <w:rsid w:val="00ED6CBE"/>
    <w:rsid w:val="00EE240E"/>
    <w:rsid w:val="00EE4DAF"/>
    <w:rsid w:val="00EF22C0"/>
    <w:rsid w:val="00EF46E9"/>
    <w:rsid w:val="00EF7C49"/>
    <w:rsid w:val="00F01892"/>
    <w:rsid w:val="00F044A7"/>
    <w:rsid w:val="00F04DC2"/>
    <w:rsid w:val="00F10A90"/>
    <w:rsid w:val="00F21199"/>
    <w:rsid w:val="00F21FA4"/>
    <w:rsid w:val="00F326B1"/>
    <w:rsid w:val="00F345C8"/>
    <w:rsid w:val="00F3492A"/>
    <w:rsid w:val="00F456A9"/>
    <w:rsid w:val="00F54843"/>
    <w:rsid w:val="00F54CFC"/>
    <w:rsid w:val="00F6080B"/>
    <w:rsid w:val="00F6275C"/>
    <w:rsid w:val="00F63152"/>
    <w:rsid w:val="00F66EB3"/>
    <w:rsid w:val="00F716A6"/>
    <w:rsid w:val="00F72688"/>
    <w:rsid w:val="00F72BED"/>
    <w:rsid w:val="00F73169"/>
    <w:rsid w:val="00F73CE2"/>
    <w:rsid w:val="00F80FE5"/>
    <w:rsid w:val="00F9294A"/>
    <w:rsid w:val="00F93D6F"/>
    <w:rsid w:val="00F95EDF"/>
    <w:rsid w:val="00FA0D9D"/>
    <w:rsid w:val="00FA10BD"/>
    <w:rsid w:val="00FA278F"/>
    <w:rsid w:val="00FA69D5"/>
    <w:rsid w:val="00FB0D87"/>
    <w:rsid w:val="00FB1A14"/>
    <w:rsid w:val="00FB3E8E"/>
    <w:rsid w:val="00FB56EB"/>
    <w:rsid w:val="00FB64FC"/>
    <w:rsid w:val="00FB7714"/>
    <w:rsid w:val="00FC5181"/>
    <w:rsid w:val="00FC7897"/>
    <w:rsid w:val="00FD72CF"/>
    <w:rsid w:val="00FF1380"/>
  </w:rsids>
  <m:mathPr>
    <m:mathFont m:val="Cambria Math"/>
    <m:brkBin m:val="before"/>
    <m:brkBinSub m:val="--"/>
    <m:smallFrac m:val="0"/>
    <m:dispDef/>
    <m:lMargin m:val="0"/>
    <m:rMargin m:val="0"/>
    <m:defJc m:val="centerGroup"/>
    <m:wrapIndent m:val="1440"/>
    <m:intLim m:val="subSup"/>
    <m:naryLim m:val="undOvr"/>
  </m:mathPr>
  <w:themeFontLang w:val="pl-PL"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19804"/>
  <w15:docId w15:val="{F8BD1BF8-3E98-460D-AA2A-F983101E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F72BED"/>
  </w:style>
  <w:style w:type="character" w:styleId="CommentReference">
    <w:name w:val="annotation reference"/>
    <w:basedOn w:val="DefaultParagraphFont"/>
    <w:semiHidden/>
    <w:unhideWhenUsed/>
    <w:rsid w:val="00E23915"/>
    <w:rPr>
      <w:sz w:val="16"/>
      <w:szCs w:val="16"/>
    </w:rPr>
  </w:style>
  <w:style w:type="paragraph" w:styleId="CommentText">
    <w:name w:val="annotation text"/>
    <w:basedOn w:val="Normal"/>
    <w:link w:val="CommentTextChar"/>
    <w:uiPriority w:val="99"/>
    <w:unhideWhenUsed/>
    <w:rsid w:val="00E23915"/>
    <w:pPr>
      <w:spacing w:line="240" w:lineRule="auto"/>
    </w:pPr>
    <w:rPr>
      <w:sz w:val="20"/>
      <w:szCs w:val="20"/>
    </w:rPr>
  </w:style>
  <w:style w:type="character" w:customStyle="1" w:styleId="CommentTextChar">
    <w:name w:val="Comment Text Char"/>
    <w:basedOn w:val="DefaultParagraphFont"/>
    <w:link w:val="CommentText"/>
    <w:uiPriority w:val="99"/>
    <w:rsid w:val="00E23915"/>
    <w:rPr>
      <w:sz w:val="20"/>
      <w:szCs w:val="20"/>
    </w:rPr>
  </w:style>
  <w:style w:type="paragraph" w:styleId="CommentSubject">
    <w:name w:val="annotation subject"/>
    <w:basedOn w:val="CommentText"/>
    <w:next w:val="CommentText"/>
    <w:link w:val="CommentSubjectChar"/>
    <w:uiPriority w:val="99"/>
    <w:semiHidden/>
    <w:unhideWhenUsed/>
    <w:rsid w:val="00E23915"/>
    <w:rPr>
      <w:b/>
      <w:bCs/>
    </w:rPr>
  </w:style>
  <w:style w:type="character" w:customStyle="1" w:styleId="CommentSubjectChar">
    <w:name w:val="Comment Subject Char"/>
    <w:basedOn w:val="CommentTextChar"/>
    <w:link w:val="CommentSubject"/>
    <w:uiPriority w:val="99"/>
    <w:semiHidden/>
    <w:rsid w:val="00E23915"/>
    <w:rPr>
      <w:b/>
      <w:bCs/>
      <w:sz w:val="20"/>
      <w:szCs w:val="20"/>
    </w:rPr>
  </w:style>
  <w:style w:type="paragraph" w:styleId="BalloonText">
    <w:name w:val="Balloon Text"/>
    <w:basedOn w:val="Normal"/>
    <w:link w:val="BalloonTextChar"/>
    <w:uiPriority w:val="99"/>
    <w:semiHidden/>
    <w:unhideWhenUsed/>
    <w:rsid w:val="00E23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915"/>
    <w:rPr>
      <w:rFonts w:ascii="Segoe UI" w:hAnsi="Segoe UI" w:cs="Segoe UI"/>
      <w:sz w:val="18"/>
      <w:szCs w:val="18"/>
    </w:rPr>
  </w:style>
  <w:style w:type="paragraph" w:styleId="EndnoteText">
    <w:name w:val="endnote text"/>
    <w:basedOn w:val="Normal"/>
    <w:link w:val="EndnoteTextChar"/>
    <w:uiPriority w:val="99"/>
    <w:semiHidden/>
    <w:unhideWhenUsed/>
    <w:rsid w:val="00B646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4641"/>
    <w:rPr>
      <w:sz w:val="20"/>
      <w:szCs w:val="20"/>
    </w:rPr>
  </w:style>
  <w:style w:type="character" w:styleId="EndnoteReference">
    <w:name w:val="endnote reference"/>
    <w:basedOn w:val="DefaultParagraphFont"/>
    <w:uiPriority w:val="99"/>
    <w:semiHidden/>
    <w:unhideWhenUsed/>
    <w:rsid w:val="00B64641"/>
    <w:rPr>
      <w:vertAlign w:val="superscript"/>
    </w:rPr>
  </w:style>
  <w:style w:type="paragraph" w:styleId="ListParagraph">
    <w:name w:val="List Paragraph"/>
    <w:basedOn w:val="Normal"/>
    <w:uiPriority w:val="34"/>
    <w:qFormat/>
    <w:rsid w:val="00961A47"/>
    <w:pPr>
      <w:ind w:left="720"/>
      <w:contextualSpacing/>
    </w:pPr>
  </w:style>
  <w:style w:type="character" w:customStyle="1" w:styleId="viiyi">
    <w:name w:val="viiyi"/>
    <w:basedOn w:val="DefaultParagraphFont"/>
    <w:rsid w:val="00003308"/>
  </w:style>
  <w:style w:type="paragraph" w:styleId="FootnoteText">
    <w:name w:val="footnote text"/>
    <w:basedOn w:val="Normal"/>
    <w:link w:val="FootnoteTextChar"/>
    <w:uiPriority w:val="99"/>
    <w:semiHidden/>
    <w:unhideWhenUsed/>
    <w:rsid w:val="002E0E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0EA7"/>
    <w:rPr>
      <w:sz w:val="20"/>
      <w:szCs w:val="20"/>
    </w:rPr>
  </w:style>
  <w:style w:type="character" w:styleId="FootnoteReference">
    <w:name w:val="footnote reference"/>
    <w:basedOn w:val="DefaultParagraphFont"/>
    <w:uiPriority w:val="99"/>
    <w:semiHidden/>
    <w:unhideWhenUsed/>
    <w:rsid w:val="002E0EA7"/>
    <w:rPr>
      <w:vertAlign w:val="superscript"/>
    </w:rPr>
  </w:style>
  <w:style w:type="paragraph" w:styleId="Revision">
    <w:name w:val="Revision"/>
    <w:hidden/>
    <w:uiPriority w:val="99"/>
    <w:semiHidden/>
    <w:rsid w:val="005164EB"/>
    <w:pPr>
      <w:spacing w:after="0" w:line="240" w:lineRule="auto"/>
    </w:pPr>
  </w:style>
  <w:style w:type="paragraph" w:styleId="Header">
    <w:name w:val="header"/>
    <w:basedOn w:val="Normal"/>
    <w:link w:val="HeaderChar"/>
    <w:uiPriority w:val="99"/>
    <w:unhideWhenUsed/>
    <w:rsid w:val="00441C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1C09"/>
  </w:style>
  <w:style w:type="paragraph" w:styleId="Footer">
    <w:name w:val="footer"/>
    <w:basedOn w:val="Normal"/>
    <w:link w:val="FooterChar"/>
    <w:uiPriority w:val="99"/>
    <w:unhideWhenUsed/>
    <w:rsid w:val="00441C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1C09"/>
  </w:style>
  <w:style w:type="paragraph" w:customStyle="1" w:styleId="NormalCentered">
    <w:name w:val="Normal Centered"/>
    <w:basedOn w:val="Normal"/>
    <w:rsid w:val="006337BE"/>
    <w:pPr>
      <w:spacing w:before="120" w:after="120" w:line="240" w:lineRule="auto"/>
      <w:jc w:val="center"/>
    </w:pPr>
    <w:rPr>
      <w:rFonts w:ascii="Times New Roman" w:eastAsia="Calibri" w:hAnsi="Times New Roman" w:cs="Times New Roman"/>
      <w:sz w:val="24"/>
      <w:lang w:val="en-GB" w:eastAsia="en-US"/>
    </w:rPr>
  </w:style>
  <w:style w:type="paragraph" w:styleId="HTMLPreformatted">
    <w:name w:val="HTML Preformatted"/>
    <w:basedOn w:val="Normal"/>
    <w:link w:val="HTMLPreformattedChar"/>
    <w:uiPriority w:val="99"/>
    <w:unhideWhenUsed/>
    <w:rsid w:val="00D70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ko-KR"/>
    </w:rPr>
  </w:style>
  <w:style w:type="character" w:customStyle="1" w:styleId="HTMLPreformattedChar">
    <w:name w:val="HTML Preformatted Char"/>
    <w:basedOn w:val="DefaultParagraphFont"/>
    <w:link w:val="HTMLPreformatted"/>
    <w:uiPriority w:val="99"/>
    <w:rsid w:val="00D701F8"/>
    <w:rPr>
      <w:rFonts w:ascii="Courier New" w:eastAsia="Times New Roman" w:hAnsi="Courier New" w:cs="Courier New"/>
      <w:sz w:val="20"/>
      <w:szCs w:val="20"/>
      <w:lang w:val="cs-CZ" w:eastAsia="ko-KR"/>
    </w:rPr>
  </w:style>
  <w:style w:type="character" w:customStyle="1" w:styleId="y2iqfc">
    <w:name w:val="y2iqfc"/>
    <w:basedOn w:val="DefaultParagraphFont"/>
    <w:rsid w:val="00D70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18649">
      <w:bodyDiv w:val="1"/>
      <w:marLeft w:val="0"/>
      <w:marRight w:val="0"/>
      <w:marTop w:val="0"/>
      <w:marBottom w:val="0"/>
      <w:divBdr>
        <w:top w:val="none" w:sz="0" w:space="0" w:color="auto"/>
        <w:left w:val="none" w:sz="0" w:space="0" w:color="auto"/>
        <w:bottom w:val="none" w:sz="0" w:space="0" w:color="auto"/>
        <w:right w:val="none" w:sz="0" w:space="0" w:color="auto"/>
      </w:divBdr>
      <w:divsChild>
        <w:div w:id="1717700342">
          <w:marLeft w:val="0"/>
          <w:marRight w:val="0"/>
          <w:marTop w:val="0"/>
          <w:marBottom w:val="0"/>
          <w:divBdr>
            <w:top w:val="none" w:sz="0" w:space="0" w:color="auto"/>
            <w:left w:val="none" w:sz="0" w:space="0" w:color="auto"/>
            <w:bottom w:val="none" w:sz="0" w:space="0" w:color="auto"/>
            <w:right w:val="none" w:sz="0" w:space="0" w:color="auto"/>
          </w:divBdr>
          <w:divsChild>
            <w:div w:id="1943225688">
              <w:marLeft w:val="0"/>
              <w:marRight w:val="0"/>
              <w:marTop w:val="0"/>
              <w:marBottom w:val="0"/>
              <w:divBdr>
                <w:top w:val="none" w:sz="0" w:space="0" w:color="auto"/>
                <w:left w:val="none" w:sz="0" w:space="0" w:color="auto"/>
                <w:bottom w:val="none" w:sz="0" w:space="0" w:color="auto"/>
                <w:right w:val="none" w:sz="0" w:space="0" w:color="auto"/>
              </w:divBdr>
              <w:divsChild>
                <w:div w:id="566962052">
                  <w:marLeft w:val="0"/>
                  <w:marRight w:val="0"/>
                  <w:marTop w:val="0"/>
                  <w:marBottom w:val="0"/>
                  <w:divBdr>
                    <w:top w:val="none" w:sz="0" w:space="0" w:color="auto"/>
                    <w:left w:val="none" w:sz="0" w:space="0" w:color="auto"/>
                    <w:bottom w:val="none" w:sz="0" w:space="0" w:color="auto"/>
                    <w:right w:val="none" w:sz="0" w:space="0" w:color="auto"/>
                  </w:divBdr>
                  <w:divsChild>
                    <w:div w:id="10527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750201">
      <w:bodyDiv w:val="1"/>
      <w:marLeft w:val="0"/>
      <w:marRight w:val="0"/>
      <w:marTop w:val="0"/>
      <w:marBottom w:val="0"/>
      <w:divBdr>
        <w:top w:val="none" w:sz="0" w:space="0" w:color="auto"/>
        <w:left w:val="none" w:sz="0" w:space="0" w:color="auto"/>
        <w:bottom w:val="none" w:sz="0" w:space="0" w:color="auto"/>
        <w:right w:val="none" w:sz="0" w:space="0" w:color="auto"/>
      </w:divBdr>
      <w:divsChild>
        <w:div w:id="2070765599">
          <w:marLeft w:val="0"/>
          <w:marRight w:val="0"/>
          <w:marTop w:val="0"/>
          <w:marBottom w:val="0"/>
          <w:divBdr>
            <w:top w:val="none" w:sz="0" w:space="0" w:color="auto"/>
            <w:left w:val="none" w:sz="0" w:space="0" w:color="auto"/>
            <w:bottom w:val="none" w:sz="0" w:space="0" w:color="auto"/>
            <w:right w:val="none" w:sz="0" w:space="0" w:color="auto"/>
          </w:divBdr>
        </w:div>
        <w:div w:id="1985768469">
          <w:marLeft w:val="0"/>
          <w:marRight w:val="0"/>
          <w:marTop w:val="0"/>
          <w:marBottom w:val="0"/>
          <w:divBdr>
            <w:top w:val="none" w:sz="0" w:space="0" w:color="auto"/>
            <w:left w:val="none" w:sz="0" w:space="0" w:color="auto"/>
            <w:bottom w:val="none" w:sz="0" w:space="0" w:color="auto"/>
            <w:right w:val="none" w:sz="0" w:space="0" w:color="auto"/>
          </w:divBdr>
          <w:divsChild>
            <w:div w:id="3871108">
              <w:marLeft w:val="0"/>
              <w:marRight w:val="0"/>
              <w:marTop w:val="0"/>
              <w:marBottom w:val="0"/>
              <w:divBdr>
                <w:top w:val="none" w:sz="0" w:space="0" w:color="auto"/>
                <w:left w:val="none" w:sz="0" w:space="0" w:color="auto"/>
                <w:bottom w:val="none" w:sz="0" w:space="0" w:color="auto"/>
                <w:right w:val="none" w:sz="0" w:space="0" w:color="auto"/>
              </w:divBdr>
              <w:divsChild>
                <w:div w:id="9158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287385">
      <w:bodyDiv w:val="1"/>
      <w:marLeft w:val="0"/>
      <w:marRight w:val="0"/>
      <w:marTop w:val="0"/>
      <w:marBottom w:val="0"/>
      <w:divBdr>
        <w:top w:val="none" w:sz="0" w:space="0" w:color="auto"/>
        <w:left w:val="none" w:sz="0" w:space="0" w:color="auto"/>
        <w:bottom w:val="none" w:sz="0" w:space="0" w:color="auto"/>
        <w:right w:val="none" w:sz="0" w:space="0" w:color="auto"/>
      </w:divBdr>
    </w:div>
    <w:div w:id="500245582">
      <w:bodyDiv w:val="1"/>
      <w:marLeft w:val="0"/>
      <w:marRight w:val="0"/>
      <w:marTop w:val="0"/>
      <w:marBottom w:val="0"/>
      <w:divBdr>
        <w:top w:val="none" w:sz="0" w:space="0" w:color="auto"/>
        <w:left w:val="none" w:sz="0" w:space="0" w:color="auto"/>
        <w:bottom w:val="none" w:sz="0" w:space="0" w:color="auto"/>
        <w:right w:val="none" w:sz="0" w:space="0" w:color="auto"/>
      </w:divBdr>
    </w:div>
    <w:div w:id="772364093">
      <w:bodyDiv w:val="1"/>
      <w:marLeft w:val="0"/>
      <w:marRight w:val="0"/>
      <w:marTop w:val="0"/>
      <w:marBottom w:val="0"/>
      <w:divBdr>
        <w:top w:val="none" w:sz="0" w:space="0" w:color="auto"/>
        <w:left w:val="none" w:sz="0" w:space="0" w:color="auto"/>
        <w:bottom w:val="none" w:sz="0" w:space="0" w:color="auto"/>
        <w:right w:val="none" w:sz="0" w:space="0" w:color="auto"/>
      </w:divBdr>
    </w:div>
    <w:div w:id="893661080">
      <w:bodyDiv w:val="1"/>
      <w:marLeft w:val="0"/>
      <w:marRight w:val="0"/>
      <w:marTop w:val="0"/>
      <w:marBottom w:val="0"/>
      <w:divBdr>
        <w:top w:val="none" w:sz="0" w:space="0" w:color="auto"/>
        <w:left w:val="none" w:sz="0" w:space="0" w:color="auto"/>
        <w:bottom w:val="none" w:sz="0" w:space="0" w:color="auto"/>
        <w:right w:val="none" w:sz="0" w:space="0" w:color="auto"/>
      </w:divBdr>
      <w:divsChild>
        <w:div w:id="1948537226">
          <w:marLeft w:val="0"/>
          <w:marRight w:val="0"/>
          <w:marTop w:val="0"/>
          <w:marBottom w:val="0"/>
          <w:divBdr>
            <w:top w:val="none" w:sz="0" w:space="0" w:color="auto"/>
            <w:left w:val="none" w:sz="0" w:space="0" w:color="auto"/>
            <w:bottom w:val="none" w:sz="0" w:space="0" w:color="auto"/>
            <w:right w:val="none" w:sz="0" w:space="0" w:color="auto"/>
          </w:divBdr>
        </w:div>
        <w:div w:id="1061563443">
          <w:marLeft w:val="0"/>
          <w:marRight w:val="0"/>
          <w:marTop w:val="0"/>
          <w:marBottom w:val="0"/>
          <w:divBdr>
            <w:top w:val="none" w:sz="0" w:space="0" w:color="auto"/>
            <w:left w:val="none" w:sz="0" w:space="0" w:color="auto"/>
            <w:bottom w:val="none" w:sz="0" w:space="0" w:color="auto"/>
            <w:right w:val="none" w:sz="0" w:space="0" w:color="auto"/>
          </w:divBdr>
          <w:divsChild>
            <w:div w:id="1315135369">
              <w:marLeft w:val="0"/>
              <w:marRight w:val="0"/>
              <w:marTop w:val="0"/>
              <w:marBottom w:val="0"/>
              <w:divBdr>
                <w:top w:val="none" w:sz="0" w:space="0" w:color="auto"/>
                <w:left w:val="none" w:sz="0" w:space="0" w:color="auto"/>
                <w:bottom w:val="none" w:sz="0" w:space="0" w:color="auto"/>
                <w:right w:val="none" w:sz="0" w:space="0" w:color="auto"/>
              </w:divBdr>
              <w:divsChild>
                <w:div w:id="12278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5865">
      <w:bodyDiv w:val="1"/>
      <w:marLeft w:val="0"/>
      <w:marRight w:val="0"/>
      <w:marTop w:val="0"/>
      <w:marBottom w:val="0"/>
      <w:divBdr>
        <w:top w:val="none" w:sz="0" w:space="0" w:color="auto"/>
        <w:left w:val="none" w:sz="0" w:space="0" w:color="auto"/>
        <w:bottom w:val="none" w:sz="0" w:space="0" w:color="auto"/>
        <w:right w:val="none" w:sz="0" w:space="0" w:color="auto"/>
      </w:divBdr>
      <w:divsChild>
        <w:div w:id="738021297">
          <w:marLeft w:val="0"/>
          <w:marRight w:val="0"/>
          <w:marTop w:val="0"/>
          <w:marBottom w:val="0"/>
          <w:divBdr>
            <w:top w:val="none" w:sz="0" w:space="0" w:color="auto"/>
            <w:left w:val="none" w:sz="0" w:space="0" w:color="auto"/>
            <w:bottom w:val="none" w:sz="0" w:space="0" w:color="auto"/>
            <w:right w:val="none" w:sz="0" w:space="0" w:color="auto"/>
          </w:divBdr>
        </w:div>
      </w:divsChild>
    </w:div>
    <w:div w:id="1491485061">
      <w:bodyDiv w:val="1"/>
      <w:marLeft w:val="0"/>
      <w:marRight w:val="0"/>
      <w:marTop w:val="0"/>
      <w:marBottom w:val="0"/>
      <w:divBdr>
        <w:top w:val="none" w:sz="0" w:space="0" w:color="auto"/>
        <w:left w:val="none" w:sz="0" w:space="0" w:color="auto"/>
        <w:bottom w:val="none" w:sz="0" w:space="0" w:color="auto"/>
        <w:right w:val="none" w:sz="0" w:space="0" w:color="auto"/>
      </w:divBdr>
      <w:divsChild>
        <w:div w:id="609826307">
          <w:marLeft w:val="0"/>
          <w:marRight w:val="0"/>
          <w:marTop w:val="0"/>
          <w:marBottom w:val="0"/>
          <w:divBdr>
            <w:top w:val="none" w:sz="0" w:space="0" w:color="auto"/>
            <w:left w:val="none" w:sz="0" w:space="0" w:color="auto"/>
            <w:bottom w:val="none" w:sz="0" w:space="0" w:color="auto"/>
            <w:right w:val="none" w:sz="0" w:space="0" w:color="auto"/>
          </w:divBdr>
        </w:div>
        <w:div w:id="483857048">
          <w:marLeft w:val="0"/>
          <w:marRight w:val="0"/>
          <w:marTop w:val="0"/>
          <w:marBottom w:val="0"/>
          <w:divBdr>
            <w:top w:val="none" w:sz="0" w:space="0" w:color="auto"/>
            <w:left w:val="none" w:sz="0" w:space="0" w:color="auto"/>
            <w:bottom w:val="none" w:sz="0" w:space="0" w:color="auto"/>
            <w:right w:val="none" w:sz="0" w:space="0" w:color="auto"/>
          </w:divBdr>
          <w:divsChild>
            <w:div w:id="1463691988">
              <w:marLeft w:val="0"/>
              <w:marRight w:val="0"/>
              <w:marTop w:val="0"/>
              <w:marBottom w:val="0"/>
              <w:divBdr>
                <w:top w:val="none" w:sz="0" w:space="0" w:color="auto"/>
                <w:left w:val="none" w:sz="0" w:space="0" w:color="auto"/>
                <w:bottom w:val="none" w:sz="0" w:space="0" w:color="auto"/>
                <w:right w:val="none" w:sz="0" w:space="0" w:color="auto"/>
              </w:divBdr>
              <w:divsChild>
                <w:div w:id="53388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758449">
      <w:bodyDiv w:val="1"/>
      <w:marLeft w:val="0"/>
      <w:marRight w:val="0"/>
      <w:marTop w:val="0"/>
      <w:marBottom w:val="0"/>
      <w:divBdr>
        <w:top w:val="none" w:sz="0" w:space="0" w:color="auto"/>
        <w:left w:val="none" w:sz="0" w:space="0" w:color="auto"/>
        <w:bottom w:val="none" w:sz="0" w:space="0" w:color="auto"/>
        <w:right w:val="none" w:sz="0" w:space="0" w:color="auto"/>
      </w:divBdr>
    </w:div>
    <w:div w:id="1727097688">
      <w:bodyDiv w:val="1"/>
      <w:marLeft w:val="0"/>
      <w:marRight w:val="0"/>
      <w:marTop w:val="0"/>
      <w:marBottom w:val="0"/>
      <w:divBdr>
        <w:top w:val="none" w:sz="0" w:space="0" w:color="auto"/>
        <w:left w:val="none" w:sz="0" w:space="0" w:color="auto"/>
        <w:bottom w:val="none" w:sz="0" w:space="0" w:color="auto"/>
        <w:right w:val="none" w:sz="0" w:space="0" w:color="auto"/>
      </w:divBdr>
    </w:div>
    <w:div w:id="1856193144">
      <w:bodyDiv w:val="1"/>
      <w:marLeft w:val="0"/>
      <w:marRight w:val="0"/>
      <w:marTop w:val="0"/>
      <w:marBottom w:val="0"/>
      <w:divBdr>
        <w:top w:val="none" w:sz="0" w:space="0" w:color="auto"/>
        <w:left w:val="none" w:sz="0" w:space="0" w:color="auto"/>
        <w:bottom w:val="none" w:sz="0" w:space="0" w:color="auto"/>
        <w:right w:val="none" w:sz="0" w:space="0" w:color="auto"/>
      </w:divBdr>
    </w:div>
    <w:div w:id="1936865442">
      <w:bodyDiv w:val="1"/>
      <w:marLeft w:val="0"/>
      <w:marRight w:val="0"/>
      <w:marTop w:val="0"/>
      <w:marBottom w:val="0"/>
      <w:divBdr>
        <w:top w:val="none" w:sz="0" w:space="0" w:color="auto"/>
        <w:left w:val="none" w:sz="0" w:space="0" w:color="auto"/>
        <w:bottom w:val="none" w:sz="0" w:space="0" w:color="auto"/>
        <w:right w:val="none" w:sz="0" w:space="0" w:color="auto"/>
      </w:divBdr>
    </w:div>
    <w:div w:id="200450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193F1-6F1F-4A2A-A515-866BF0521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1422</Words>
  <Characters>8112</Characters>
  <Application>Microsoft Office Word</Application>
  <DocSecurity>0</DocSecurity>
  <Lines>67</Lines>
  <Paragraphs>19</Paragraphs>
  <ScaleCrop>false</ScaleCrop>
  <HeadingPairs>
    <vt:vector size="8" baseType="variant">
      <vt:variant>
        <vt:lpstr>Cím</vt:lpstr>
      </vt:variant>
      <vt:variant>
        <vt:i4>1</vt:i4>
      </vt:variant>
      <vt:variant>
        <vt:lpstr>Názov</vt:lpstr>
      </vt:variant>
      <vt:variant>
        <vt:i4>1</vt:i4>
      </vt:variant>
      <vt:variant>
        <vt:lpstr>Tytuł</vt:lpstr>
      </vt:variant>
      <vt:variant>
        <vt:i4>1</vt:i4>
      </vt:variant>
      <vt:variant>
        <vt:lpstr>Název</vt:lpstr>
      </vt:variant>
      <vt:variant>
        <vt:i4>1</vt:i4>
      </vt:variant>
    </vt:vector>
  </HeadingPairs>
  <TitlesOfParts>
    <vt:vector size="4" baseType="lpstr">
      <vt:lpstr/>
      <vt:lpstr/>
      <vt:lpstr/>
      <vt:lpstr/>
    </vt:vector>
  </TitlesOfParts>
  <Company>KD</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Jiří Sýkora</cp:lastModifiedBy>
  <cp:revision>3</cp:revision>
  <cp:lastPrinted>2022-02-11T16:03:00Z</cp:lastPrinted>
  <dcterms:created xsi:type="dcterms:W3CDTF">2022-02-25T07:46:00Z</dcterms:created>
  <dcterms:modified xsi:type="dcterms:W3CDTF">2022-02-25T07:47:00Z</dcterms:modified>
</cp:coreProperties>
</file>